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800"/>
        <w:gridCol w:w="13400"/>
        <w:gridCol w:w="800"/>
      </w:tblGrid>
      <w:tr w:rsidR="00716FE3">
        <w:tblPrEx>
          <w:tblCellMar>
            <w:top w:w="0" w:type="dxa"/>
            <w:bottom w:w="0" w:type="dxa"/>
          </w:tblCellMar>
        </w:tblPrEx>
        <w:tc>
          <w:tcPr>
            <w:tcW w:w="800" w:type="dxa"/>
          </w:tcPr>
          <w:p w:rsidR="00716FE3" w:rsidRDefault="00716FE3">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508000" cy="87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876300"/>
                          </a:xfrm>
                          <a:prstGeom prst="rect">
                            <a:avLst/>
                          </a:prstGeom>
                          <a:noFill/>
                          <a:ln>
                            <a:noFill/>
                          </a:ln>
                        </pic:spPr>
                      </pic:pic>
                    </a:graphicData>
                  </a:graphic>
                </wp:inline>
              </w:drawing>
            </w:r>
          </w:p>
        </w:tc>
        <w:tc>
          <w:tcPr>
            <w:tcW w:w="13400" w:type="dxa"/>
            <w:vAlign w:val="bottom"/>
          </w:tcPr>
          <w:p w:rsidR="00716FE3" w:rsidRDefault="00716FE3">
            <w:pPr>
              <w:widowControl w:val="0"/>
              <w:autoSpaceDE w:val="0"/>
              <w:autoSpaceDN w:val="0"/>
              <w:adjustRightInd w:val="0"/>
              <w:jc w:val="right"/>
              <w:rPr>
                <w:rFonts w:ascii="Helvetica" w:hAnsi="Helvetica" w:cs="Helvetica"/>
              </w:rPr>
            </w:pPr>
            <w:r>
              <w:rPr>
                <w:rFonts w:ascii="Helvetica" w:hAnsi="Helvetica" w:cs="Helvetica"/>
                <w:noProof/>
              </w:rPr>
              <w:drawing>
                <wp:inline distT="0" distB="0" distL="0" distR="0">
                  <wp:extent cx="3517900" cy="723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723900"/>
                          </a:xfrm>
                          <a:prstGeom prst="rect">
                            <a:avLst/>
                          </a:prstGeom>
                          <a:noFill/>
                          <a:ln>
                            <a:noFill/>
                          </a:ln>
                        </pic:spPr>
                      </pic:pic>
                    </a:graphicData>
                  </a:graphic>
                </wp:inline>
              </w:drawing>
            </w:r>
          </w:p>
        </w:tc>
        <w:tc>
          <w:tcPr>
            <w:tcW w:w="800" w:type="dxa"/>
          </w:tcPr>
          <w:p w:rsidR="00716FE3" w:rsidRDefault="00716FE3">
            <w:pPr>
              <w:widowControl w:val="0"/>
              <w:autoSpaceDE w:val="0"/>
              <w:autoSpaceDN w:val="0"/>
              <w:adjustRightInd w:val="0"/>
              <w:jc w:val="right"/>
              <w:rPr>
                <w:rFonts w:ascii="Helvetica" w:hAnsi="Helvetica" w:cs="Helvetica"/>
              </w:rPr>
            </w:pPr>
            <w:r>
              <w:rPr>
                <w:rFonts w:ascii="Helvetica" w:hAnsi="Helvetica" w:cs="Helvetica"/>
                <w:noProof/>
              </w:rPr>
              <w:drawing>
                <wp:inline distT="0" distB="0" distL="0" distR="0">
                  <wp:extent cx="508000" cy="876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876300"/>
                          </a:xfrm>
                          <a:prstGeom prst="rect">
                            <a:avLst/>
                          </a:prstGeom>
                          <a:noFill/>
                          <a:ln>
                            <a:noFill/>
                          </a:ln>
                        </pic:spPr>
                      </pic:pic>
                    </a:graphicData>
                  </a:graphic>
                </wp:inline>
              </w:drawing>
            </w:r>
          </w:p>
        </w:tc>
      </w:tr>
      <w:tr w:rsidR="00716FE3">
        <w:tblPrEx>
          <w:tblCellMar>
            <w:top w:w="0" w:type="dxa"/>
            <w:bottom w:w="0" w:type="dxa"/>
          </w:tblCellMar>
        </w:tblPrEx>
        <w:tc>
          <w:tcPr>
            <w:tcW w:w="13400" w:type="dxa"/>
            <w:gridSpan w:val="3"/>
            <w:vAlign w:val="center"/>
          </w:tcPr>
          <w:p w:rsidR="00716FE3" w:rsidRDefault="00716FE3">
            <w:pPr>
              <w:widowControl w:val="0"/>
              <w:autoSpaceDE w:val="0"/>
              <w:autoSpaceDN w:val="0"/>
              <w:adjustRightInd w:val="0"/>
              <w:rPr>
                <w:rFonts w:ascii="Helvetica" w:hAnsi="Helvetica" w:cs="Helvetica"/>
              </w:rPr>
            </w:pPr>
            <w:r>
              <w:rPr>
                <w:rFonts w:ascii="Helvetica" w:hAnsi="Helvetica" w:cs="Helvetica"/>
              </w:rPr>
              <w:t> </w:t>
            </w:r>
          </w:p>
        </w:tc>
        <w:tc>
          <w:tcPr>
            <w:tcW w:w="13400" w:type="dxa"/>
            <w:gridSpan w:val="3"/>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3400"/>
            </w:tblGrid>
            <w:tr w:rsidR="00716FE3">
              <w:tblPrEx>
                <w:tblCellMar>
                  <w:top w:w="0" w:type="dxa"/>
                  <w:left w:w="0" w:type="dxa"/>
                  <w:bottom w:w="0" w:type="dxa"/>
                  <w:right w:w="0" w:type="dxa"/>
                </w:tblCellMar>
              </w:tblPrEx>
              <w:tc>
                <w:tcPr>
                  <w:tcW w:w="13400" w:type="dxa"/>
                  <w:tcBorders>
                    <w:top w:val="nil"/>
                    <w:left w:val="nil"/>
                    <w:bottom w:val="nil"/>
                    <w:right w:val="nil"/>
                  </w:tcBorders>
                  <w:vAlign w:val="center"/>
                </w:tcPr>
                <w:p w:rsidR="00716FE3" w:rsidRDefault="00716FE3">
                  <w:pPr>
                    <w:widowControl w:val="0"/>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 </w:t>
                  </w:r>
                </w:p>
              </w:tc>
            </w:tr>
            <w:tr w:rsidR="00716FE3">
              <w:tblPrEx>
                <w:tblBorders>
                  <w:top w:val="none" w:sz="0" w:space="0" w:color="auto"/>
                </w:tblBorders>
                <w:tblCellMar>
                  <w:top w:w="0" w:type="dxa"/>
                  <w:left w:w="0" w:type="dxa"/>
                  <w:bottom w:w="0" w:type="dxa"/>
                  <w:right w:w="0" w:type="dxa"/>
                </w:tblCellMar>
              </w:tblPrEx>
              <w:tc>
                <w:tcPr>
                  <w:tcW w:w="13400" w:type="dxa"/>
                  <w:tcBorders>
                    <w:top w:val="nil"/>
                    <w:left w:val="nil"/>
                    <w:bottom w:val="nil"/>
                    <w:right w:val="nil"/>
                  </w:tcBorders>
                  <w:vAlign w:val="center"/>
                </w:tcPr>
                <w:p w:rsidR="00716FE3" w:rsidRDefault="00716FE3">
                  <w:pPr>
                    <w:widowControl w:val="0"/>
                    <w:autoSpaceDE w:val="0"/>
                    <w:autoSpaceDN w:val="0"/>
                    <w:adjustRightInd w:val="0"/>
                    <w:spacing w:after="240"/>
                    <w:rPr>
                      <w:rFonts w:ascii="Helvetica" w:hAnsi="Helvetica" w:cs="Helvetica"/>
                    </w:rPr>
                  </w:pPr>
                  <w:r>
                    <w:rPr>
                      <w:rFonts w:ascii="Arial" w:hAnsi="Arial" w:cs="Arial"/>
                      <w:sz w:val="18"/>
                      <w:szCs w:val="18"/>
                    </w:rPr>
                    <w:t>OFFICIAL STATEMENT</w:t>
                  </w:r>
                </w:p>
                <w:p w:rsidR="00716FE3" w:rsidRDefault="00716FE3">
                  <w:pPr>
                    <w:widowControl w:val="0"/>
                    <w:autoSpaceDE w:val="0"/>
                    <w:autoSpaceDN w:val="0"/>
                    <w:adjustRightInd w:val="0"/>
                    <w:spacing w:after="240"/>
                    <w:jc w:val="center"/>
                    <w:rPr>
                      <w:rFonts w:ascii="Helvetica" w:hAnsi="Helvetica" w:cs="Helvetica"/>
                    </w:rPr>
                  </w:pPr>
                  <w:r>
                    <w:rPr>
                      <w:rFonts w:ascii="Arial" w:hAnsi="Arial" w:cs="Arial"/>
                      <w:b/>
                      <w:bCs/>
                      <w:sz w:val="28"/>
                      <w:szCs w:val="28"/>
                    </w:rPr>
                    <w:t>IRENA Welcomes Paris Climate Agreement as  'watershed for the global energy transition’</w:t>
                  </w:r>
                </w:p>
                <w:p w:rsidR="00716FE3" w:rsidRDefault="00716FE3">
                  <w:pPr>
                    <w:widowControl w:val="0"/>
                    <w:autoSpaceDE w:val="0"/>
                    <w:autoSpaceDN w:val="0"/>
                    <w:adjustRightInd w:val="0"/>
                    <w:spacing w:after="240"/>
                    <w:jc w:val="center"/>
                    <w:rPr>
                      <w:rFonts w:ascii="Helvetica" w:hAnsi="Helvetica" w:cs="Helvetica"/>
                    </w:rPr>
                  </w:pPr>
                  <w:r>
                    <w:rPr>
                      <w:rFonts w:ascii="Arial" w:hAnsi="Arial" w:cs="Arial"/>
                      <w:i/>
                      <w:iCs/>
                    </w:rPr>
                    <w:t>Looks ahead to 6</w:t>
                  </w:r>
                  <w:r>
                    <w:rPr>
                      <w:rFonts w:ascii="Arial" w:hAnsi="Arial" w:cs="Arial"/>
                      <w:i/>
                      <w:iCs/>
                      <w:sz w:val="20"/>
                      <w:szCs w:val="20"/>
                      <w:vertAlign w:val="superscript"/>
                    </w:rPr>
                    <w:t>th</w:t>
                  </w:r>
                  <w:r>
                    <w:rPr>
                      <w:rFonts w:ascii="Arial" w:hAnsi="Arial" w:cs="Arial"/>
                      <w:i/>
                      <w:iCs/>
                    </w:rPr>
                    <w:t xml:space="preserve"> Assembly to set global renewable energy agenda </w:t>
                  </w:r>
                </w:p>
                <w:p w:rsidR="00716FE3" w:rsidRDefault="00716FE3">
                  <w:pPr>
                    <w:widowControl w:val="0"/>
                    <w:autoSpaceDE w:val="0"/>
                    <w:autoSpaceDN w:val="0"/>
                    <w:adjustRightInd w:val="0"/>
                    <w:spacing w:after="240"/>
                    <w:rPr>
                      <w:rFonts w:ascii="Helvetica" w:hAnsi="Helvetica" w:cs="Helvetica"/>
                    </w:rPr>
                  </w:pPr>
                  <w:r>
                    <w:rPr>
                      <w:rFonts w:ascii="Times New Roman" w:hAnsi="Times New Roman" w:cs="Times New Roman"/>
                      <w:b/>
                      <w:bCs/>
                      <w:sz w:val="20"/>
                      <w:szCs w:val="20"/>
                    </w:rPr>
                    <w:t>Abu Dhabi, U.A.E., 13 December 2015 –</w:t>
                  </w:r>
                  <w:r>
                    <w:rPr>
                      <w:rFonts w:ascii="Times New Roman" w:hAnsi="Times New Roman" w:cs="Times New Roman"/>
                      <w:sz w:val="20"/>
                      <w:szCs w:val="20"/>
                    </w:rPr>
                    <w:t xml:space="preserve"> International Renewable Energy Agency (IRENA) Director-General Adnan Z. Amin issued the following statement after the adoption of the Paris Agreement at the COP 21 Climate Conference:</w:t>
                  </w:r>
                </w:p>
                <w:p w:rsidR="00716FE3" w:rsidRDefault="00716FE3">
                  <w:pPr>
                    <w:widowControl w:val="0"/>
                    <w:autoSpaceDE w:val="0"/>
                    <w:autoSpaceDN w:val="0"/>
                    <w:adjustRightInd w:val="0"/>
                    <w:spacing w:after="240"/>
                    <w:rPr>
                      <w:rFonts w:ascii="Helvetica" w:hAnsi="Helvetica" w:cs="Helvetica"/>
                    </w:rPr>
                  </w:pPr>
                  <w:r>
                    <w:rPr>
                      <w:rFonts w:ascii="Times New Roman" w:hAnsi="Times New Roman" w:cs="Times New Roman"/>
                      <w:sz w:val="20"/>
                      <w:szCs w:val="20"/>
                    </w:rPr>
                    <w:t>“Yesterday the global community was united in voicing commitment for decisive, inclusive and coordinated action on climate change. The Paris Agreement provides a framework for international cooperation and sends a clear signal to all stakeholders to raise their ambition.</w:t>
                  </w:r>
                </w:p>
                <w:p w:rsidR="00716FE3" w:rsidRDefault="00716FE3">
                  <w:pPr>
                    <w:widowControl w:val="0"/>
                    <w:autoSpaceDE w:val="0"/>
                    <w:autoSpaceDN w:val="0"/>
                    <w:adjustRightInd w:val="0"/>
                    <w:spacing w:after="240"/>
                    <w:rPr>
                      <w:rFonts w:ascii="Helvetica" w:hAnsi="Helvetica" w:cs="Helvetica"/>
                    </w:rPr>
                  </w:pPr>
                  <w:r>
                    <w:rPr>
                      <w:rFonts w:ascii="Times New Roman" w:hAnsi="Times New Roman" w:cs="Times New Roman"/>
                      <w:sz w:val="20"/>
                      <w:szCs w:val="20"/>
                    </w:rPr>
                    <w:t>“The innovative approach of the Conference incorporated all of the ingredients for a positive outcome, setting the stage for decisive action moving forward. The Agreement establishes long-term vision for the deep reduction of global emissions and the imperative of decarbonising energy. The commitments submitted by countries in their Intended Nationally Determined Contributions demonstrate the centrality of renewable energy in national strategies. And the bold announcements made by private sector and other actors strengthened the meeting’s solution-focused theme.</w:t>
                  </w:r>
                </w:p>
                <w:p w:rsidR="00716FE3" w:rsidRDefault="00716FE3">
                  <w:pPr>
                    <w:widowControl w:val="0"/>
                    <w:autoSpaceDE w:val="0"/>
                    <w:autoSpaceDN w:val="0"/>
                    <w:adjustRightInd w:val="0"/>
                    <w:spacing w:after="240"/>
                    <w:rPr>
                      <w:rFonts w:ascii="Helvetica" w:hAnsi="Helvetica" w:cs="Helvetica"/>
                    </w:rPr>
                  </w:pPr>
                  <w:r>
                    <w:rPr>
                      <w:rFonts w:ascii="Times New Roman" w:hAnsi="Times New Roman" w:cs="Times New Roman"/>
                      <w:sz w:val="20"/>
                      <w:szCs w:val="20"/>
                    </w:rPr>
                    <w:t>“IRENA welcomes the Paris Agreement as a watershed for the global energy transition. Renewable energy has made remarkable progress in the last decade. Combined with energy efficiency, it provides an immediate, viable and affordable solution to the challenge of climate change. But to meet the ambition set forth in the Agreement, accelerating the deployment of renewable energy deployment across all sectors must start now. In January 2016, we will welcome global energy leaders at the 6</w:t>
                  </w:r>
                  <w:r>
                    <w:rPr>
                      <w:rFonts w:ascii="Times New Roman" w:hAnsi="Times New Roman" w:cs="Times New Roman"/>
                      <w:sz w:val="18"/>
                      <w:szCs w:val="18"/>
                      <w:vertAlign w:val="superscript"/>
                    </w:rPr>
                    <w:t>th</w:t>
                  </w:r>
                  <w:r>
                    <w:rPr>
                      <w:rFonts w:ascii="Times New Roman" w:hAnsi="Times New Roman" w:cs="Times New Roman"/>
                      <w:sz w:val="20"/>
                      <w:szCs w:val="20"/>
                    </w:rPr>
                    <w:t xml:space="preserve"> Session of the IRENA Assembly to move the Paris Agreement to the next phase, setting the global renewable energy agenda and establishing a blueprint for action to meet climate goals and set the world on a path to a sustainable energy future.”</w:t>
                  </w:r>
                  <w:r>
                    <w:rPr>
                      <w:rFonts w:ascii="Times New Roman" w:hAnsi="Times New Roman" w:cs="Times New Roman"/>
                      <w:b/>
                      <w:bCs/>
                      <w:i/>
                      <w:iCs/>
                      <w:sz w:val="20"/>
                      <w:szCs w:val="20"/>
                    </w:rPr>
                    <w:t> </w:t>
                  </w:r>
                </w:p>
                <w:p w:rsidR="00716FE3" w:rsidRDefault="00716FE3">
                  <w:pPr>
                    <w:widowControl w:val="0"/>
                    <w:autoSpaceDE w:val="0"/>
                    <w:autoSpaceDN w:val="0"/>
                    <w:adjustRightInd w:val="0"/>
                    <w:spacing w:after="240"/>
                    <w:jc w:val="center"/>
                    <w:rPr>
                      <w:rFonts w:ascii="Helvetica" w:hAnsi="Helvetica" w:cs="Helvetica"/>
                    </w:rPr>
                  </w:pPr>
                  <w:r>
                    <w:rPr>
                      <w:rFonts w:ascii="Times New Roman" w:hAnsi="Times New Roman" w:cs="Times New Roman"/>
                      <w:sz w:val="20"/>
                      <w:szCs w:val="20"/>
                    </w:rPr>
                    <w:t>###</w:t>
                  </w:r>
                  <w:r>
                    <w:rPr>
                      <w:rFonts w:ascii="Times New Roman" w:hAnsi="Times New Roman" w:cs="Times New Roman"/>
                      <w:b/>
                      <w:bCs/>
                      <w:sz w:val="20"/>
                      <w:szCs w:val="20"/>
                    </w:rPr>
                    <w:t> </w:t>
                  </w:r>
                </w:p>
                <w:p w:rsidR="00716FE3" w:rsidRDefault="00716FE3">
                  <w:pPr>
                    <w:widowControl w:val="0"/>
                    <w:autoSpaceDE w:val="0"/>
                    <w:autoSpaceDN w:val="0"/>
                    <w:adjustRightInd w:val="0"/>
                    <w:spacing w:after="240"/>
                    <w:rPr>
                      <w:rFonts w:ascii="Helvetica" w:hAnsi="Helvetica" w:cs="Helvetica"/>
                    </w:rPr>
                  </w:pPr>
                  <w:r>
                    <w:rPr>
                      <w:rFonts w:ascii="Times New Roman" w:hAnsi="Times New Roman" w:cs="Times New Roman"/>
                      <w:b/>
                      <w:bCs/>
                      <w:sz w:val="20"/>
                      <w:szCs w:val="20"/>
                    </w:rPr>
                    <w:t>About the International Renewable Energy Agency (IRENA)</w:t>
                  </w:r>
                  <w:r>
                    <w:rPr>
                      <w:rFonts w:ascii="Times New Roman" w:hAnsi="Times New Roman" w:cs="Times New Roman"/>
                      <w:sz w:val="20"/>
                      <w:szCs w:val="20"/>
                    </w:rPr>
                    <w:t> </w:t>
                  </w:r>
                  <w:r>
                    <w:rPr>
                      <w:rFonts w:ascii="Helvetica" w:hAnsi="Helvetica" w:cs="Helvetica"/>
                    </w:rPr>
                    <w:t> </w:t>
                  </w:r>
                  <w:r>
                    <w:rPr>
                      <w:rFonts w:ascii="Times New Roman" w:hAnsi="Times New Roman" w:cs="Times New Roman"/>
                      <w:sz w:val="20"/>
                      <w:szCs w:val="20"/>
                    </w:rPr>
                    <w:t xml:space="preserve">The International Renewable Energy Agency (IRENA) is mandated as the global hub for renewable energy cooperation and information exchange by 144 Members (143 States and the European Union). Roughly 30 additional countries are in the accession process and actively engaged.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w:t>
                  </w:r>
                  <w:hyperlink r:id="rId8" w:history="1">
                    <w:r>
                      <w:rPr>
                        <w:rFonts w:ascii="Times New Roman" w:hAnsi="Times New Roman" w:cs="Times New Roman"/>
                        <w:color w:val="386EFF"/>
                        <w:sz w:val="20"/>
                        <w:szCs w:val="20"/>
                        <w:u w:val="single" w:color="386EFF"/>
                      </w:rPr>
                      <w:t>www.irena.org</w:t>
                    </w:r>
                  </w:hyperlink>
                </w:p>
                <w:p w:rsidR="00716FE3" w:rsidRDefault="00716FE3">
                  <w:pPr>
                    <w:widowControl w:val="0"/>
                    <w:autoSpaceDE w:val="0"/>
                    <w:autoSpaceDN w:val="0"/>
                    <w:adjustRightInd w:val="0"/>
                    <w:spacing w:after="240"/>
                    <w:rPr>
                      <w:rFonts w:ascii="Helvetica" w:hAnsi="Helvetica" w:cs="Helvetica"/>
                    </w:rPr>
                  </w:pPr>
                  <w:r>
                    <w:rPr>
                      <w:rFonts w:ascii="Times New Roman" w:hAnsi="Times New Roman" w:cs="Times New Roman"/>
                      <w:b/>
                      <w:bCs/>
                      <w:sz w:val="20"/>
                      <w:szCs w:val="20"/>
                    </w:rPr>
                    <w:t>Contact information: </w:t>
                  </w:r>
                  <w:r>
                    <w:rPr>
                      <w:rFonts w:ascii="Times New Roman" w:hAnsi="Times New Roman" w:cs="Times New Roman"/>
                      <w:sz w:val="20"/>
                      <w:szCs w:val="20"/>
                    </w:rPr>
                    <w:t>Timothy Hurst, Chief Communications Officer, IRENA, </w:t>
                  </w:r>
                  <w:hyperlink r:id="rId9" w:history="1">
                    <w:r>
                      <w:rPr>
                        <w:rFonts w:ascii="Times New Roman" w:hAnsi="Times New Roman" w:cs="Times New Roman"/>
                        <w:color w:val="386EFF"/>
                        <w:sz w:val="20"/>
                        <w:szCs w:val="20"/>
                        <w:u w:val="single" w:color="386EFF"/>
                      </w:rPr>
                      <w:t>thurst@irena.org</w:t>
                    </w:r>
                  </w:hyperlink>
                </w:p>
                <w:p w:rsidR="00716FE3" w:rsidRDefault="00716FE3">
                  <w:pPr>
                    <w:widowControl w:val="0"/>
                    <w:autoSpaceDE w:val="0"/>
                    <w:autoSpaceDN w:val="0"/>
                    <w:adjustRightInd w:val="0"/>
                    <w:spacing w:after="240"/>
                    <w:rPr>
                      <w:rFonts w:ascii="Helvetica" w:hAnsi="Helvetica" w:cs="Helvetica"/>
                    </w:rPr>
                  </w:pPr>
                  <w:r>
                    <w:rPr>
                      <w:rFonts w:ascii="Times New Roman" w:hAnsi="Times New Roman" w:cs="Times New Roman"/>
                      <w:sz w:val="20"/>
                      <w:szCs w:val="20"/>
                    </w:rPr>
                    <w:t xml:space="preserve">Stay in touch with IRENA at </w:t>
                  </w:r>
                  <w:hyperlink r:id="rId10" w:history="1">
                    <w:r>
                      <w:rPr>
                        <w:rFonts w:ascii="Times New Roman" w:hAnsi="Times New Roman" w:cs="Times New Roman"/>
                        <w:color w:val="386EFF"/>
                        <w:sz w:val="20"/>
                        <w:szCs w:val="20"/>
                        <w:u w:val="single" w:color="386EFF"/>
                      </w:rPr>
                      <w:t>www.twitter.com/irena</w:t>
                    </w:r>
                  </w:hyperlink>
                  <w:r>
                    <w:rPr>
                      <w:rFonts w:ascii="Times New Roman" w:hAnsi="Times New Roman" w:cs="Times New Roman"/>
                      <w:sz w:val="20"/>
                      <w:szCs w:val="20"/>
                    </w:rPr>
                    <w:t xml:space="preserve"> and </w:t>
                  </w:r>
                  <w:hyperlink r:id="rId11" w:history="1">
                    <w:r>
                      <w:rPr>
                        <w:rFonts w:ascii="Times New Roman" w:hAnsi="Times New Roman" w:cs="Times New Roman"/>
                        <w:color w:val="386EFF"/>
                        <w:sz w:val="20"/>
                        <w:szCs w:val="20"/>
                        <w:u w:val="single" w:color="386EFF"/>
                      </w:rPr>
                      <w:t>www.facebook.com/irena.org</w:t>
                    </w:r>
                  </w:hyperlink>
                </w:p>
              </w:tc>
            </w:tr>
            <w:tr w:rsidR="00716FE3">
              <w:tblPrEx>
                <w:tblBorders>
                  <w:top w:val="none" w:sz="0" w:space="0" w:color="auto"/>
                </w:tblBorders>
                <w:tblCellMar>
                  <w:top w:w="0" w:type="dxa"/>
                  <w:left w:w="0" w:type="dxa"/>
                  <w:bottom w:w="0" w:type="dxa"/>
                  <w:right w:w="0" w:type="dxa"/>
                </w:tblCellMar>
              </w:tblPrEx>
              <w:tc>
                <w:tcPr>
                  <w:tcW w:w="13400" w:type="dxa"/>
                  <w:tcBorders>
                    <w:top w:val="nil"/>
                    <w:left w:val="nil"/>
                    <w:bottom w:val="nil"/>
                    <w:right w:val="nil"/>
                  </w:tcBorders>
                  <w:vAlign w:val="center"/>
                </w:tcPr>
                <w:p w:rsidR="00716FE3" w:rsidRDefault="00716FE3">
                  <w:pPr>
                    <w:widowControl w:val="0"/>
                    <w:autoSpaceDE w:val="0"/>
                    <w:autoSpaceDN w:val="0"/>
                    <w:adjustRightInd w:val="0"/>
                    <w:rPr>
                      <w:rFonts w:ascii="Helvetica" w:hAnsi="Helvetica" w:cs="Helvetica"/>
                    </w:rPr>
                  </w:pPr>
                </w:p>
                <w:p w:rsidR="00716FE3" w:rsidRDefault="00716FE3">
                  <w:pPr>
                    <w:widowControl w:val="0"/>
                    <w:autoSpaceDE w:val="0"/>
                    <w:autoSpaceDN w:val="0"/>
                    <w:adjustRightInd w:val="0"/>
                    <w:rPr>
                      <w:rFonts w:ascii="Helvetica" w:hAnsi="Helvetica" w:cs="Helvetica"/>
                    </w:rPr>
                  </w:pPr>
                </w:p>
                <w:p w:rsidR="00716FE3" w:rsidRDefault="00716FE3">
                  <w:pPr>
                    <w:widowControl w:val="0"/>
                    <w:autoSpaceDE w:val="0"/>
                    <w:autoSpaceDN w:val="0"/>
                    <w:adjustRightInd w:val="0"/>
                    <w:rPr>
                      <w:rFonts w:ascii="Helvetica" w:hAnsi="Helvetica" w:cs="Helvetica"/>
                    </w:rPr>
                  </w:pPr>
                </w:p>
                <w:p w:rsidR="00716FE3" w:rsidRDefault="00716FE3">
                  <w:pPr>
                    <w:widowControl w:val="0"/>
                    <w:autoSpaceDE w:val="0"/>
                    <w:autoSpaceDN w:val="0"/>
                    <w:adjustRightInd w:val="0"/>
                    <w:rPr>
                      <w:rFonts w:ascii="Helvetica" w:hAnsi="Helvetica" w:cs="Helvetica"/>
                    </w:rPr>
                  </w:pPr>
                </w:p>
              </w:tc>
            </w:tr>
            <w:tr w:rsidR="00716FE3">
              <w:tblPrEx>
                <w:tblCellMar>
                  <w:top w:w="0" w:type="dxa"/>
                  <w:left w:w="0" w:type="dxa"/>
                  <w:bottom w:w="0" w:type="dxa"/>
                  <w:right w:w="0" w:type="dxa"/>
                </w:tblCellMar>
              </w:tblPrEx>
              <w:tc>
                <w:tcPr>
                  <w:tcW w:w="13400" w:type="dxa"/>
                  <w:tcBorders>
                    <w:top w:val="nil"/>
                    <w:left w:val="nil"/>
                    <w:bottom w:val="nil"/>
                    <w:right w:val="nil"/>
                  </w:tcBorders>
                  <w:vAlign w:val="center"/>
                </w:tcPr>
                <w:p w:rsidR="00716FE3" w:rsidRDefault="00716FE3">
                  <w:pPr>
                    <w:widowControl w:val="0"/>
                    <w:autoSpaceDE w:val="0"/>
                    <w:autoSpaceDN w:val="0"/>
                    <w:adjustRightInd w:val="0"/>
                    <w:jc w:val="right"/>
                    <w:rPr>
                      <w:rFonts w:ascii="Century Gothic" w:hAnsi="Century Gothic" w:cs="Century Gothic"/>
                      <w:color w:val="4C4B4E"/>
                      <w:sz w:val="22"/>
                      <w:szCs w:val="22"/>
                    </w:rPr>
                  </w:pPr>
                  <w:r>
                    <w:rPr>
                      <w:rFonts w:ascii="Century Gothic" w:hAnsi="Century Gothic" w:cs="Century Gothic"/>
                      <w:noProof/>
                      <w:color w:val="4C4B4E"/>
                      <w:sz w:val="22"/>
                      <w:szCs w:val="22"/>
                    </w:rPr>
                    <w:drawing>
                      <wp:inline distT="0" distB="0" distL="0" distR="0">
                        <wp:extent cx="72390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0" cy="12700"/>
                                </a:xfrm>
                                <a:prstGeom prst="rect">
                                  <a:avLst/>
                                </a:prstGeom>
                                <a:noFill/>
                                <a:ln>
                                  <a:noFill/>
                                </a:ln>
                              </pic:spPr>
                            </pic:pic>
                          </a:graphicData>
                        </a:graphic>
                      </wp:inline>
                    </w:drawing>
                  </w:r>
                </w:p>
                <w:p w:rsidR="00716FE3" w:rsidRDefault="00716FE3">
                  <w:pPr>
                    <w:widowControl w:val="0"/>
                    <w:autoSpaceDE w:val="0"/>
                    <w:autoSpaceDN w:val="0"/>
                    <w:adjustRightInd w:val="0"/>
                    <w:jc w:val="right"/>
                    <w:rPr>
                      <w:rFonts w:ascii="Century Gothic" w:hAnsi="Century Gothic" w:cs="Century Gothic"/>
                      <w:color w:val="115A8C"/>
                      <w:sz w:val="22"/>
                      <w:szCs w:val="22"/>
                    </w:rPr>
                  </w:pPr>
                  <w:r>
                    <w:rPr>
                      <w:rFonts w:ascii="Century Gothic" w:hAnsi="Century Gothic" w:cs="Century Gothic"/>
                      <w:color w:val="4C4B4E"/>
                      <w:sz w:val="22"/>
                      <w:szCs w:val="22"/>
                    </w:rPr>
                    <w:t> </w:t>
                  </w:r>
                  <w:hyperlink r:id="rId13" w:history="1">
                    <w:r>
                      <w:rPr>
                        <w:rFonts w:ascii="Century Gothic" w:hAnsi="Century Gothic" w:cs="Century Gothic"/>
                        <w:color w:val="386EFF"/>
                        <w:sz w:val="22"/>
                        <w:szCs w:val="22"/>
                        <w:u w:val="single" w:color="386EFF"/>
                      </w:rPr>
                      <w:t>www.irena.org</w:t>
                    </w:r>
                  </w:hyperlink>
                </w:p>
                <w:p w:rsidR="00716FE3" w:rsidRDefault="00716FE3">
                  <w:pPr>
                    <w:widowControl w:val="0"/>
                    <w:autoSpaceDE w:val="0"/>
                    <w:autoSpaceDN w:val="0"/>
                    <w:adjustRightInd w:val="0"/>
                    <w:jc w:val="right"/>
                    <w:rPr>
                      <w:rFonts w:ascii="Century Gothic" w:hAnsi="Century Gothic" w:cs="Century Gothic"/>
                      <w:color w:val="4C4B4E"/>
                      <w:sz w:val="22"/>
                      <w:szCs w:val="22"/>
                    </w:rPr>
                  </w:pPr>
                  <w:r>
                    <w:rPr>
                      <w:rFonts w:ascii="Century Gothic" w:hAnsi="Century Gothic" w:cs="Century Gothic"/>
                      <w:color w:val="115A8C"/>
                      <w:sz w:val="22"/>
                      <w:szCs w:val="22"/>
                    </w:rPr>
                    <w:t>IRENA Headquarters,</w:t>
                  </w:r>
                  <w:r>
                    <w:rPr>
                      <w:rFonts w:ascii="Century Gothic" w:hAnsi="Century Gothic" w:cs="Century Gothic"/>
                      <w:color w:val="4C4B4E"/>
                      <w:sz w:val="22"/>
                      <w:szCs w:val="22"/>
                    </w:rPr>
                    <w:t> Masdar City</w:t>
                  </w:r>
                </w:p>
                <w:p w:rsidR="00716FE3" w:rsidRDefault="00716FE3">
                  <w:pPr>
                    <w:widowControl w:val="0"/>
                    <w:autoSpaceDE w:val="0"/>
                    <w:autoSpaceDN w:val="0"/>
                    <w:adjustRightInd w:val="0"/>
                    <w:jc w:val="right"/>
                    <w:rPr>
                      <w:rFonts w:ascii="Century Gothic" w:hAnsi="Century Gothic" w:cs="Century Gothic"/>
                      <w:color w:val="4C4B4E"/>
                      <w:sz w:val="22"/>
                      <w:szCs w:val="22"/>
                    </w:rPr>
                  </w:pPr>
                  <w:r>
                    <w:rPr>
                      <w:rFonts w:ascii="Century Gothic" w:hAnsi="Century Gothic" w:cs="Century Gothic"/>
                      <w:color w:val="4C4B4E"/>
                      <w:sz w:val="22"/>
                      <w:szCs w:val="22"/>
                    </w:rPr>
                    <w:t>P.O. Box 236, Abu Dhabi, United Arab Emirates</w:t>
                  </w:r>
                </w:p>
              </w:tc>
            </w:tr>
          </w:tbl>
          <w:p w:rsidR="00716FE3" w:rsidRDefault="00716FE3">
            <w:pPr>
              <w:widowControl w:val="0"/>
              <w:autoSpaceDE w:val="0"/>
              <w:autoSpaceDN w:val="0"/>
              <w:adjustRightInd w:val="0"/>
              <w:rPr>
                <w:rFonts w:ascii="Helvetica" w:hAnsi="Helvetica" w:cs="Helvetica"/>
              </w:rPr>
            </w:pPr>
            <w:r>
              <w:rPr>
                <w:rFonts w:ascii="Helvetica" w:hAnsi="Helvetica" w:cs="Helvetica"/>
              </w:rPr>
              <w:t> </w:t>
            </w:r>
          </w:p>
        </w:tc>
      </w:tr>
    </w:tbl>
    <w:p w:rsidR="00716FE3" w:rsidRDefault="00716FE3" w:rsidP="00716FE3">
      <w:pPr>
        <w:widowControl w:val="0"/>
        <w:autoSpaceDE w:val="0"/>
        <w:autoSpaceDN w:val="0"/>
        <w:adjustRightInd w:val="0"/>
        <w:rPr>
          <w:rFonts w:ascii="Helvetica" w:hAnsi="Helvetica" w:cs="Helvetica"/>
        </w:rPr>
      </w:pPr>
    </w:p>
    <w:p w:rsidR="00716FE3" w:rsidRDefault="00716FE3" w:rsidP="00716FE3">
      <w:pPr>
        <w:widowControl w:val="0"/>
        <w:autoSpaceDE w:val="0"/>
        <w:autoSpaceDN w:val="0"/>
        <w:adjustRightInd w:val="0"/>
        <w:rPr>
          <w:rFonts w:ascii="Helvetica" w:hAnsi="Helvetica" w:cs="Helvetica"/>
        </w:rPr>
      </w:pPr>
    </w:p>
    <w:p w:rsidR="00716FE3" w:rsidRDefault="00716FE3" w:rsidP="00716FE3">
      <w:pPr>
        <w:widowControl w:val="0"/>
        <w:autoSpaceDE w:val="0"/>
        <w:autoSpaceDN w:val="0"/>
        <w:adjustRightInd w:val="0"/>
        <w:rPr>
          <w:rFonts w:ascii="Arial" w:hAnsi="Arial" w:cs="Arial"/>
          <w:sz w:val="20"/>
          <w:szCs w:val="20"/>
        </w:rPr>
      </w:pPr>
      <w:r>
        <w:rPr>
          <w:rFonts w:ascii="Arial" w:hAnsi="Arial" w:cs="Arial"/>
          <w:b/>
          <w:bCs/>
          <w:sz w:val="20"/>
          <w:szCs w:val="20"/>
        </w:rPr>
        <w:lastRenderedPageBreak/>
        <w:t xml:space="preserve">Disclaimer: </w:t>
      </w:r>
      <w:r>
        <w:rPr>
          <w:rFonts w:ascii="Arial" w:hAnsi="Arial" w:cs="Arial"/>
          <w:sz w:val="20"/>
          <w:szCs w:val="20"/>
        </w:rPr>
        <w:t xml:space="preserve">If you do not wish to receive further news/releases from International Renewable Energy Agency (IRENA), please click the following link: </w:t>
      </w:r>
      <w:hyperlink r:id="rId14" w:history="1">
        <w:r>
          <w:rPr>
            <w:rFonts w:ascii="Arial" w:hAnsi="Arial" w:cs="Arial"/>
            <w:color w:val="386EFF"/>
            <w:sz w:val="20"/>
            <w:szCs w:val="20"/>
            <w:u w:val="single" w:color="386EFF"/>
          </w:rPr>
          <w:t>[Remove Me]</w:t>
        </w:r>
      </w:hyperlink>
      <w:r>
        <w:rPr>
          <w:rFonts w:ascii="Arial" w:hAnsi="Arial" w:cs="Arial"/>
          <w:sz w:val="20"/>
          <w:szCs w:val="20"/>
        </w:rPr>
        <w:t xml:space="preserve">. Requests will take a maximum of 2 business days to process. </w:t>
      </w:r>
    </w:p>
    <w:p w:rsidR="00716FE3" w:rsidRDefault="00716FE3" w:rsidP="00716FE3">
      <w:pPr>
        <w:widowControl w:val="0"/>
        <w:autoSpaceDE w:val="0"/>
        <w:autoSpaceDN w:val="0"/>
        <w:adjustRightInd w:val="0"/>
        <w:rPr>
          <w:rFonts w:ascii="Arial" w:hAnsi="Arial" w:cs="Arial"/>
          <w:sz w:val="20"/>
          <w:szCs w:val="20"/>
        </w:rPr>
      </w:pPr>
    </w:p>
    <w:p w:rsidR="006168F2" w:rsidRDefault="00716FE3" w:rsidP="00716FE3">
      <w:r>
        <w:rPr>
          <w:rFonts w:ascii="Arial" w:hAnsi="Arial" w:cs="Arial"/>
          <w:sz w:val="20"/>
          <w:szCs w:val="20"/>
        </w:rPr>
        <w:t>Contact information: press irena, International Renewable Energy Agency (IRENA), IRENA Headquarters, Masdar City, Abu Dhabi, PO Box 236</w:t>
      </w:r>
      <w:bookmarkStart w:id="0" w:name="_GoBack"/>
      <w:bookmarkEnd w:id="0"/>
    </w:p>
    <w:sectPr w:rsidR="006168F2"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3"/>
    <w:rsid w:val="006168F2"/>
    <w:rsid w:val="00716FE3"/>
    <w:rsid w:val="008B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irena.org" TargetMode="External"/><Relationship Id="rId12" Type="http://schemas.openxmlformats.org/officeDocument/2006/relationships/image" Target="media/image4.png"/><Relationship Id="rId13" Type="http://schemas.openxmlformats.org/officeDocument/2006/relationships/hyperlink" Target="http://www.irena.org/" TargetMode="External"/><Relationship Id="rId14" Type="http://schemas.openxmlformats.org/officeDocument/2006/relationships/hyperlink" Target="https://influencers.meltwater.com/unsubscribe/mPress?c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amp;iv=5EBEED9CCCB550A44BC87FF291F4434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irena.org/" TargetMode="External"/><Relationship Id="rId9" Type="http://schemas.openxmlformats.org/officeDocument/2006/relationships/hyperlink" Target="mailto:thurst@irena.org" TargetMode="External"/><Relationship Id="rId10" Type="http://schemas.openxmlformats.org/officeDocument/2006/relationships/hyperlink" Target="http://www.twitter.com/ir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Macintosh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2015-12-14T01:42:00Z</dcterms:created>
  <dcterms:modified xsi:type="dcterms:W3CDTF">2015-12-14T01:42:00Z</dcterms:modified>
</cp:coreProperties>
</file>