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E6" w:rsidRDefault="006117E6" w:rsidP="006117E6">
      <w:pPr>
        <w:rPr>
          <w:szCs w:val="18"/>
        </w:rPr>
      </w:pPr>
      <w:r>
        <w:rPr>
          <w:szCs w:val="18"/>
        </w:rPr>
        <w:t xml:space="preserve">Geachte Voorzitter, </w:t>
      </w:r>
    </w:p>
    <w:p w:rsidR="006117E6" w:rsidRDefault="006117E6" w:rsidP="006117E6">
      <w:pPr>
        <w:rPr>
          <w:szCs w:val="18"/>
        </w:rPr>
      </w:pPr>
    </w:p>
    <w:p w:rsidR="005267DA" w:rsidRDefault="006117E6" w:rsidP="001572D8">
      <w:r>
        <w:t>De vaste commissie voor Economis</w:t>
      </w:r>
      <w:r w:rsidR="00E71E78">
        <w:t xml:space="preserve">che Zaken heeft mij verzocht  om </w:t>
      </w:r>
      <w:r>
        <w:t xml:space="preserve">een beeld te schetsen van de toepassing van </w:t>
      </w:r>
      <w:proofErr w:type="spellStart"/>
      <w:r>
        <w:t>fracking</w:t>
      </w:r>
      <w:proofErr w:type="spellEnd"/>
      <w:r>
        <w:t xml:space="preserve">, de mogelijke consequenties (op </w:t>
      </w:r>
      <w:r w:rsidR="005267DA">
        <w:t>onder andere</w:t>
      </w:r>
      <w:r>
        <w:t xml:space="preserve"> kwaliteit van grondwater) en de beoordeling van deze consequenties</w:t>
      </w:r>
      <w:r w:rsidR="005267DA">
        <w:t xml:space="preserve"> (commissieverzoek kenmerk 2015Z22502/2015D45976)</w:t>
      </w:r>
      <w:r>
        <w:t>.</w:t>
      </w:r>
      <w:r w:rsidR="005267DA">
        <w:t xml:space="preserve"> Hierbij stuur ik uw Kamer, conform mijn toezegging</w:t>
      </w:r>
      <w:r w:rsidR="00E01508">
        <w:t>en uit het ordedebat van 27 oktober jl. en mijn brief van 11 december jl.</w:t>
      </w:r>
      <w:r w:rsidR="005267DA">
        <w:t>, een</w:t>
      </w:r>
      <w:r w:rsidR="00E71E78">
        <w:t xml:space="preserve"> inventarisatie </w:t>
      </w:r>
      <w:r w:rsidR="005267DA">
        <w:t xml:space="preserve">van </w:t>
      </w:r>
      <w:proofErr w:type="spellStart"/>
      <w:r w:rsidR="005267DA">
        <w:t>frackwerkzaamheden</w:t>
      </w:r>
      <w:proofErr w:type="spellEnd"/>
      <w:r w:rsidR="005267DA">
        <w:t xml:space="preserve"> </w:t>
      </w:r>
      <w:r w:rsidR="00E71E78">
        <w:t>die het Staatstoezicht</w:t>
      </w:r>
      <w:r w:rsidR="001572D8">
        <w:t xml:space="preserve"> op de Mijnen </w:t>
      </w:r>
      <w:r w:rsidR="00C43118">
        <w:t xml:space="preserve">(SodM) </w:t>
      </w:r>
      <w:r w:rsidR="001572D8">
        <w:t xml:space="preserve">heeft uitgevoerd. </w:t>
      </w:r>
    </w:p>
    <w:p w:rsidR="005267DA" w:rsidRDefault="005267DA" w:rsidP="001572D8"/>
    <w:p w:rsidR="006117E6" w:rsidRPr="005267DA" w:rsidRDefault="005267DA" w:rsidP="005267DA">
      <w:r>
        <w:rPr>
          <w:szCs w:val="18"/>
        </w:rPr>
        <w:t>In haar brief beschrijft SodM</w:t>
      </w:r>
      <w:r w:rsidR="001572D8">
        <w:rPr>
          <w:szCs w:val="18"/>
        </w:rPr>
        <w:t xml:space="preserve"> op hoofdlijnen de techniek van </w:t>
      </w:r>
      <w:proofErr w:type="spellStart"/>
      <w:r w:rsidR="001572D8">
        <w:rPr>
          <w:szCs w:val="18"/>
        </w:rPr>
        <w:t>fracking</w:t>
      </w:r>
      <w:proofErr w:type="spellEnd"/>
      <w:r w:rsidR="001572D8">
        <w:rPr>
          <w:szCs w:val="18"/>
        </w:rPr>
        <w:t xml:space="preserve"> en de scenario’s </w:t>
      </w:r>
      <w:r>
        <w:rPr>
          <w:szCs w:val="18"/>
        </w:rPr>
        <w:t>waarbij</w:t>
      </w:r>
      <w:r w:rsidR="001572D8">
        <w:rPr>
          <w:szCs w:val="18"/>
        </w:rPr>
        <w:t xml:space="preserve"> </w:t>
      </w:r>
      <w:proofErr w:type="spellStart"/>
      <w:r w:rsidR="001572D8">
        <w:rPr>
          <w:szCs w:val="18"/>
        </w:rPr>
        <w:t>frackwerkzaamheden</w:t>
      </w:r>
      <w:proofErr w:type="spellEnd"/>
      <w:r w:rsidR="001572D8">
        <w:rPr>
          <w:szCs w:val="18"/>
        </w:rPr>
        <w:t xml:space="preserve"> kunnen leiden tot negatieve consequenties voor mens en milieu. Verder wordt het wettelijk kader rond </w:t>
      </w:r>
      <w:proofErr w:type="spellStart"/>
      <w:r w:rsidR="001572D8">
        <w:rPr>
          <w:szCs w:val="18"/>
        </w:rPr>
        <w:t>fracking</w:t>
      </w:r>
      <w:proofErr w:type="spellEnd"/>
      <w:r w:rsidR="001572D8">
        <w:rPr>
          <w:szCs w:val="18"/>
        </w:rPr>
        <w:t xml:space="preserve"> in de brief uiteengezet, gevolgd door een beschouwing </w:t>
      </w:r>
      <w:r>
        <w:rPr>
          <w:szCs w:val="18"/>
        </w:rPr>
        <w:t>met betrekking tot</w:t>
      </w:r>
      <w:r w:rsidR="001572D8">
        <w:rPr>
          <w:szCs w:val="18"/>
        </w:rPr>
        <w:t xml:space="preserve"> het toezicht op de activiteiten en beheersmaatregelen die door mijnbouwmaatschappijen toegepast kunnen worden.</w:t>
      </w:r>
      <w:r>
        <w:rPr>
          <w:szCs w:val="18"/>
        </w:rPr>
        <w:t xml:space="preserve"> </w:t>
      </w:r>
      <w:r w:rsidR="001572D8">
        <w:rPr>
          <w:szCs w:val="18"/>
        </w:rPr>
        <w:t>Het onderzoek bevat een overzicht va</w:t>
      </w:r>
      <w:r w:rsidR="00D8081B">
        <w:rPr>
          <w:szCs w:val="18"/>
        </w:rPr>
        <w:t xml:space="preserve">n alle putlocaties waarin </w:t>
      </w:r>
      <w:proofErr w:type="spellStart"/>
      <w:r w:rsidR="00D8081B">
        <w:rPr>
          <w:szCs w:val="18"/>
        </w:rPr>
        <w:t>frack</w:t>
      </w:r>
      <w:r w:rsidR="001572D8">
        <w:rPr>
          <w:szCs w:val="18"/>
        </w:rPr>
        <w:t>operaties</w:t>
      </w:r>
      <w:proofErr w:type="spellEnd"/>
      <w:r w:rsidR="001572D8">
        <w:rPr>
          <w:szCs w:val="18"/>
        </w:rPr>
        <w:t xml:space="preserve"> op land en op zee hebben plaatsgevonden. SodM komt tot de conclusie dat, voor zover bekend bij SodM, er als gevolg van al deze </w:t>
      </w:r>
      <w:proofErr w:type="spellStart"/>
      <w:r w:rsidR="001572D8">
        <w:rPr>
          <w:szCs w:val="18"/>
        </w:rPr>
        <w:t>frackwerkzaamheden</w:t>
      </w:r>
      <w:proofErr w:type="spellEnd"/>
      <w:r w:rsidR="001572D8">
        <w:rPr>
          <w:szCs w:val="18"/>
        </w:rPr>
        <w:t xml:space="preserve"> geen nadelige gevolgen voor mens en milieu zijn opgetreden.</w:t>
      </w:r>
      <w:r w:rsidR="001572D8" w:rsidRPr="001572D8">
        <w:rPr>
          <w:i/>
          <w:szCs w:val="18"/>
        </w:rPr>
        <w:t xml:space="preserve"> </w:t>
      </w:r>
    </w:p>
    <w:p w:rsidR="00C43118" w:rsidRDefault="00C43118" w:rsidP="006117E6">
      <w:pPr>
        <w:rPr>
          <w:szCs w:val="18"/>
        </w:rPr>
      </w:pPr>
    </w:p>
    <w:p w:rsidR="006117E6" w:rsidRDefault="006117E6" w:rsidP="006117E6">
      <w:pPr>
        <w:rPr>
          <w:szCs w:val="18"/>
        </w:rPr>
      </w:pPr>
    </w:p>
    <w:p w:rsidR="006117E6" w:rsidRDefault="006117E6" w:rsidP="006117E6">
      <w:pPr>
        <w:rPr>
          <w:szCs w:val="18"/>
        </w:rPr>
      </w:pPr>
    </w:p>
    <w:p w:rsidR="00683AAC" w:rsidRDefault="00683AAC" w:rsidP="006117E6">
      <w:pPr>
        <w:rPr>
          <w:szCs w:val="18"/>
        </w:rPr>
      </w:pPr>
    </w:p>
    <w:p w:rsidR="00683AAC" w:rsidRDefault="00683AAC" w:rsidP="006117E6">
      <w:pPr>
        <w:rPr>
          <w:szCs w:val="18"/>
        </w:rPr>
      </w:pPr>
    </w:p>
    <w:p w:rsidR="006117E6" w:rsidRDefault="006117E6" w:rsidP="006117E6">
      <w:pPr>
        <w:rPr>
          <w:szCs w:val="18"/>
        </w:rPr>
      </w:pPr>
    </w:p>
    <w:p w:rsidR="006117E6" w:rsidRDefault="00E73608" w:rsidP="00E73608">
      <w:pPr>
        <w:ind w:hanging="993"/>
        <w:rPr>
          <w:szCs w:val="18"/>
        </w:rPr>
      </w:pPr>
      <w:r>
        <w:rPr>
          <w:szCs w:val="18"/>
        </w:rPr>
        <w:t>(w.g.)</w:t>
      </w:r>
      <w:r>
        <w:rPr>
          <w:szCs w:val="18"/>
        </w:rPr>
        <w:tab/>
      </w:r>
      <w:r w:rsidR="006117E6">
        <w:rPr>
          <w:szCs w:val="18"/>
        </w:rPr>
        <w:t>H.G.J. Kamp</w:t>
      </w:r>
    </w:p>
    <w:p w:rsidR="00A50CF6" w:rsidRDefault="006117E6" w:rsidP="00810C93">
      <w:r>
        <w:rPr>
          <w:szCs w:val="18"/>
        </w:rPr>
        <w:t>Minister van Economische Zaken</w:t>
      </w:r>
    </w:p>
    <w:sectPr w:rsidR="00A50CF6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aperSrc w:first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44" w:rsidRDefault="008C7B44">
      <w:r>
        <w:separator/>
      </w:r>
    </w:p>
    <w:p w:rsidR="008C7B44" w:rsidRDefault="008C7B44"/>
  </w:endnote>
  <w:endnote w:type="continuationSeparator" w:id="0">
    <w:p w:rsidR="008C7B44" w:rsidRDefault="008C7B44">
      <w:r>
        <w:continuationSeparator/>
      </w:r>
    </w:p>
    <w:p w:rsidR="008C7B44" w:rsidRDefault="008C7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3F" w:rsidRDefault="00CB2C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274321" w:rsidP="00274321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1572D8"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1572D8"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274321" w:rsidP="00274321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001502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001502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44" w:rsidRDefault="008C7B44">
      <w:r>
        <w:separator/>
      </w:r>
    </w:p>
    <w:p w:rsidR="008C7B44" w:rsidRDefault="008C7B44"/>
  </w:footnote>
  <w:footnote w:type="continuationSeparator" w:id="0">
    <w:p w:rsidR="008C7B44" w:rsidRDefault="008C7B44">
      <w:r>
        <w:continuationSeparator/>
      </w:r>
    </w:p>
    <w:p w:rsidR="008C7B44" w:rsidRDefault="008C7B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3F" w:rsidRDefault="00CB2C3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274321" w:rsidP="0027432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Energie, Telecom &amp; Mededinging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 Energie en Omgeving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274321" w:rsidP="00274321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274321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DGETM-EO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16031333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DE7CFB" w:rsidP="00274321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293712A1" wp14:editId="40D27292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5819CE" w:rsidTr="00A50CF6">
      <w:tc>
        <w:tcPr>
          <w:tcW w:w="2160" w:type="dxa"/>
          <w:shd w:val="clear" w:color="auto" w:fill="auto"/>
        </w:tcPr>
        <w:p w:rsidR="00527BD4" w:rsidRPr="005819CE" w:rsidRDefault="00274321" w:rsidP="0027432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Energie, Telecom &amp; Mededinging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 Energie en Omgeving</w:t>
          </w:r>
        </w:p>
        <w:p w:rsidR="00274321" w:rsidRDefault="00274321" w:rsidP="0027432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274321" w:rsidRDefault="00274321" w:rsidP="0027432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274321" w:rsidRDefault="00274321" w:rsidP="0027432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274321" w:rsidRPr="005B3814" w:rsidRDefault="00274321" w:rsidP="00274321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BE5ED9" w:rsidRDefault="00274321" w:rsidP="00274321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  <w:p w:rsidR="00527BD4" w:rsidRPr="005819CE" w:rsidRDefault="00527BD4" w:rsidP="00274321">
          <w:pPr>
            <w:pStyle w:val="Huisstijl-Adres"/>
            <w:rPr>
              <w:noProof w:val="0"/>
            </w:rPr>
          </w:pPr>
        </w:p>
      </w:tc>
    </w:tr>
    <w:tr w:rsidR="00527BD4" w:rsidRPr="005819CE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274321" w:rsidP="00274321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274321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DGETM-EO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16031333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274321" w:rsidP="00274321">
          <w:pPr>
            <w:pStyle w:val="Huisstijl-Kopje"/>
            <w:rPr>
              <w:noProof w:val="0"/>
            </w:rPr>
          </w:pPr>
          <w:r>
            <w:rPr>
              <w:noProof w:val="0"/>
            </w:rPr>
            <w:t>Uw kenmerk</w:t>
          </w:r>
        </w:p>
        <w:p w:rsidR="00527BD4" w:rsidRPr="005819CE" w:rsidRDefault="00DF1418" w:rsidP="00A50CF6">
          <w:pPr>
            <w:pStyle w:val="Huisstijl-Gegeven"/>
            <w:rPr>
              <w:noProof w:val="0"/>
            </w:rPr>
          </w:pPr>
          <w:r w:rsidRPr="00DF1418">
            <w:rPr>
              <w:noProof w:val="0"/>
            </w:rPr>
            <w:t>2015Z22502/2015D45976</w:t>
          </w:r>
        </w:p>
        <w:p w:rsidR="00527BD4" w:rsidRPr="005819CE" w:rsidRDefault="00274321" w:rsidP="00274321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274321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274321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274321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DF1418" w:rsidRDefault="00DF1418" w:rsidP="00DF1418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DF1418" w:rsidRDefault="00DF1418" w:rsidP="00DF1418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DF1418" w:rsidRDefault="00DF1418" w:rsidP="00DF1418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DF1418" w:rsidP="00DF1418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 </w:t>
          </w:r>
          <w:proofErr w:type="spellStart"/>
          <w:r>
            <w:rPr>
              <w:noProof w:val="0"/>
            </w:rPr>
            <w:t>’s-GRAVENHAGE</w:t>
          </w:r>
          <w:proofErr w:type="spellEnd"/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274321" w:rsidP="00274321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CB2C3F" w:rsidP="00A50CF6">
          <w:r>
            <w:t>1 maart 2016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274321" w:rsidP="00274321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5267DA" w:rsidP="00A50CF6">
          <w:r>
            <w:t>I</w:t>
          </w:r>
          <w:r w:rsidR="00274321">
            <w:t xml:space="preserve">nventarisatie Staatstoezicht op de Mijnen over de toepassing van </w:t>
          </w:r>
          <w:proofErr w:type="spellStart"/>
          <w:r w:rsidR="00274321">
            <w:t>fracking</w:t>
          </w:r>
          <w:proofErr w:type="spellEnd"/>
          <w:r w:rsidR="00274321">
            <w:t>, de mogelijke consequenties en beoordeling daarvan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DC3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E2A7F"/>
    <w:multiLevelType w:val="hybridMultilevel"/>
    <w:tmpl w:val="2AC656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A646A"/>
    <w:multiLevelType w:val="hybridMultilevel"/>
    <w:tmpl w:val="199A7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031333"/>
    <w:docVar w:name="HC_HBLIB" w:val="DOMUS"/>
  </w:docVars>
  <w:rsids>
    <w:rsidRoot w:val="00274321"/>
    <w:rsid w:val="00001502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572D8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321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67DA"/>
    <w:rsid w:val="00527BD4"/>
    <w:rsid w:val="00530E2E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17E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3AAC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C7B44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3118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B2C3F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81B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E7CFB"/>
    <w:rsid w:val="00DF1418"/>
    <w:rsid w:val="00DF2583"/>
    <w:rsid w:val="00DF54D9"/>
    <w:rsid w:val="00DF7283"/>
    <w:rsid w:val="00E01508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1E78"/>
    <w:rsid w:val="00E7360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Lijstalinea">
    <w:name w:val="List Paragraph"/>
    <w:basedOn w:val="Standaard"/>
    <w:uiPriority w:val="34"/>
    <w:qFormat/>
    <w:rsid w:val="006117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E7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E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Lijstalinea">
    <w:name w:val="List Paragraph"/>
    <w:basedOn w:val="Standaard"/>
    <w:uiPriority w:val="34"/>
    <w:qFormat/>
    <w:rsid w:val="006117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E7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E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69986EB43140B798443DD14F7A32" ma:contentTypeVersion="0" ma:contentTypeDescription="Een nieuw document maken." ma:contentTypeScope="" ma:versionID="071a5ec43536b54ec3407367a49bb5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CBCCE-F5A9-4845-B42C-A63F14B308AA}"/>
</file>

<file path=customXml/itemProps2.xml><?xml version="1.0" encoding="utf-8"?>
<ds:datastoreItem xmlns:ds="http://schemas.openxmlformats.org/officeDocument/2006/customXml" ds:itemID="{BAF5967A-D863-47F5-A8AE-295472CEC551}"/>
</file>

<file path=customXml/itemProps3.xml><?xml version="1.0" encoding="utf-8"?>
<ds:datastoreItem xmlns:ds="http://schemas.openxmlformats.org/officeDocument/2006/customXml" ds:itemID="{41137A56-59EA-4A21-8429-E18E8B66B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Capgemini Nederland B.V. / D76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Kriesels, L. (Lonneke)</dc:creator>
  <cp:lastModifiedBy>Helm, A.T.C.M. van der (Alice)</cp:lastModifiedBy>
  <cp:revision>3</cp:revision>
  <cp:lastPrinted>2016-03-01T13:30:00Z</cp:lastPrinted>
  <dcterms:created xsi:type="dcterms:W3CDTF">2016-03-01T13:56:00Z</dcterms:created>
  <dcterms:modified xsi:type="dcterms:W3CDTF">2016-03-01T15:23:00Z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0x0101009D2869986EB43140B798443DD14F7A32</vt:lpwstr>
  </property>
</Properties>
</file>