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b/>
          <w:bCs/>
          <w:sz w:val="26"/>
          <w:szCs w:val="26"/>
        </w:rPr>
        <w:t>FOR IMMEDIATE RELEASE</w:t>
      </w:r>
    </w:p>
    <w:p w:rsidR="000B7AEC" w:rsidRDefault="000B7AEC" w:rsidP="000B7AEC">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Global propylene capacity is forecast to experience strong growth, increasing from 111.8 million metric tons per annum (mmtpa) in 2015 to 129.8 mmtpa by 2020</w:t>
      </w:r>
    </w:p>
    <w:p w:rsidR="000B7AEC" w:rsidRDefault="000B7AEC" w:rsidP="000B7AEC">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This growth will be driven by 60 planned projects slated to come online in the next five years, primarily in China and the US, says analyst</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b/>
          <w:bCs/>
          <w:sz w:val="36"/>
          <w:szCs w:val="36"/>
        </w:rPr>
        <w:t>60 Planned Projects Set to Push Global Propylene Capacity to New Levels by 2020, says GlobalData</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sz w:val="26"/>
          <w:szCs w:val="26"/>
        </w:rPr>
        <w:t>LONDON, UK (GlobalData), 26 May 2016 – Global propylene capacity is set to experience strong growth over the next five years, increasing from 111.8 million metric tons per annum (mmtpa) in 2015 to 129.8 mmtpa by 2020, as around 60 planned projects are slated to come online over the period, according to research and consulting firm GlobalData.</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sz w:val="26"/>
          <w:szCs w:val="26"/>
        </w:rPr>
        <w:t xml:space="preserve">The company’s </w:t>
      </w:r>
      <w:hyperlink r:id="rId6" w:history="1">
        <w:r>
          <w:rPr>
            <w:rFonts w:ascii="Arial" w:hAnsi="Arial" w:cs="Arial"/>
            <w:color w:val="386EFF"/>
            <w:sz w:val="26"/>
            <w:szCs w:val="26"/>
            <w:u w:val="single" w:color="386EFF"/>
          </w:rPr>
          <w:t>latest report</w:t>
        </w:r>
      </w:hyperlink>
      <w:r>
        <w:rPr>
          <w:rFonts w:ascii="Arial" w:hAnsi="Arial" w:cs="Arial"/>
          <w:sz w:val="26"/>
          <w:szCs w:val="26"/>
        </w:rPr>
        <w:t>* states that the projects will primarily be undertaken by China and the US. Indeed, of 38 planned propylene projects in Asia, China is responsible for 24, and will add 5.6 mmtpa by 2019. The country’s capital expenditure (capex) is set to reach US$3.62 billion over the next five years, and the leading companies accounting for major capacity additions will be Fujian Meide Petrochemical Co. Ltd and Ningbo Fortune Petrochemical Co., Ltd.</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sz w:val="26"/>
          <w:szCs w:val="26"/>
        </w:rPr>
        <w:t>Indonesia is set to contribute the second highest capacity in Asia, adding 1.6 mmtpa by 2019, and planning capex of around US$2.14 billion over the next five years.</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sz w:val="26"/>
          <w:szCs w:val="26"/>
        </w:rPr>
        <w:t>In North America, major propylene capacity additions will occur in the US, at around 3.1 mmtpa, with capex of around US$2.01 billion over the next five years. The top companies in terms of capacity additions in the US are BASF SE and C3 Petrochemicals LLC.</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sz w:val="26"/>
          <w:szCs w:val="26"/>
        </w:rPr>
        <w:t>In Europe, major propylene capacity additions will be witnessed in Russia and Poland, which are planning to add capacity of around 1.7 mmtpa by 2020, with capex of around $2.83 billion. In Africa, Egypt is expected to spend around US$0.88 billion to add 0.9 mmtpa of capacity, which is expected to come onstream by 2020.</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sz w:val="26"/>
          <w:szCs w:val="26"/>
        </w:rPr>
        <w:t>Globally, The Petronas Refinery and Petrochemical Corporation, Lotte Chemical Corporation, and C3 Petrochemicals LLC will be the top companies in terms of capacity additions, and all are expected to come onstream over the next five years.</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b/>
          <w:bCs/>
          <w:sz w:val="26"/>
          <w:szCs w:val="26"/>
        </w:rPr>
        <w:lastRenderedPageBreak/>
        <w:t>*</w:t>
      </w:r>
      <w:hyperlink r:id="rId7" w:history="1">
        <w:r>
          <w:rPr>
            <w:rFonts w:ascii="Arial" w:hAnsi="Arial" w:cs="Arial"/>
            <w:b/>
            <w:bCs/>
            <w:color w:val="386EFF"/>
            <w:sz w:val="26"/>
            <w:szCs w:val="26"/>
            <w:u w:val="single" w:color="386EFF"/>
          </w:rPr>
          <w:t>Q1 Global Propylene Capacity and Capital Expenditure Outlook - China and US to lead Propylene Industry Expansion</w:t>
        </w:r>
      </w:hyperlink>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b/>
          <w:bCs/>
          <w:sz w:val="26"/>
          <w:szCs w:val="26"/>
        </w:rPr>
        <w:t>-ENDS-</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b/>
          <w:bCs/>
          <w:sz w:val="26"/>
          <w:szCs w:val="26"/>
        </w:rPr>
        <w:t>-NOTES TO EDITORS-</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sz w:val="26"/>
          <w:szCs w:val="26"/>
        </w:rPr>
        <w:t>This report provides analysis of global propylene capacity, with forecast data from 2015 to 2020. It includes information such as historic and forecast global propylene capacity by region, propylene planned plants details, and global propylene capacity by feedstock.</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sz w:val="26"/>
          <w:szCs w:val="26"/>
        </w:rPr>
        <w:t>This report was built using data and information sourced from proprietary databases, primary and secondary research, and in-house analysis conducted by GlobalData’s team of industry experts.</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sz w:val="26"/>
          <w:szCs w:val="26"/>
        </w:rPr>
        <w:t xml:space="preserve">For guidelines on how to cite GlobalData, please see: </w:t>
      </w:r>
      <w:hyperlink r:id="rId8" w:history="1">
        <w:r>
          <w:rPr>
            <w:rFonts w:ascii="Arial" w:hAnsi="Arial" w:cs="Arial"/>
            <w:color w:val="386EFF"/>
            <w:sz w:val="26"/>
            <w:szCs w:val="26"/>
            <w:u w:val="single" w:color="386EFF"/>
          </w:rPr>
          <w:t>http://energy.globaldata.com/media-center/quoting-globaldata</w:t>
        </w:r>
      </w:hyperlink>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b/>
          <w:bCs/>
          <w:sz w:val="26"/>
          <w:szCs w:val="26"/>
        </w:rPr>
        <w:t>-ABOUT GLOBALDATA-</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sz w:val="26"/>
          <w:szCs w:val="26"/>
        </w:rPr>
        <w:t>GlobalData is a leading global research and consulting firm offering advanced analytics to help clients make better, more informed decisions every day. Our research and analysis is based on the expert knowledge of over 700 qualified business analysts and 25,000 interviews conducted with industry insiders every year, enabling us to offer the most relevant, reliable and actionable strategic business intelligence available for a wide range of industries.</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sz w:val="26"/>
          <w:szCs w:val="26"/>
        </w:rPr>
        <w:t xml:space="preserve">For more information, please contact our Press Office on +44 (0)161 359 5822 or at </w:t>
      </w:r>
      <w:hyperlink r:id="rId9" w:history="1">
        <w:r>
          <w:rPr>
            <w:rFonts w:ascii="Arial" w:hAnsi="Arial" w:cs="Arial"/>
            <w:color w:val="386EFF"/>
            <w:sz w:val="26"/>
            <w:szCs w:val="26"/>
            <w:u w:val="single" w:color="386EFF"/>
          </w:rPr>
          <w:t>pr@globaldata.com</w:t>
        </w:r>
      </w:hyperlink>
      <w:r>
        <w:rPr>
          <w:rFonts w:ascii="Arial" w:hAnsi="Arial" w:cs="Arial"/>
          <w:sz w:val="26"/>
          <w:szCs w:val="26"/>
        </w:rPr>
        <w:t>.</w:t>
      </w:r>
    </w:p>
    <w:p w:rsidR="000B7AEC" w:rsidRDefault="000B7AEC" w:rsidP="000B7AEC">
      <w:pPr>
        <w:widowControl w:val="0"/>
        <w:autoSpaceDE w:val="0"/>
        <w:autoSpaceDN w:val="0"/>
        <w:adjustRightInd w:val="0"/>
        <w:spacing w:after="266"/>
        <w:rPr>
          <w:rFonts w:ascii="Arial" w:hAnsi="Arial" w:cs="Arial"/>
          <w:sz w:val="26"/>
          <w:szCs w:val="26"/>
        </w:rPr>
      </w:pPr>
      <w:r>
        <w:rPr>
          <w:rFonts w:ascii="Arial" w:hAnsi="Arial" w:cs="Arial"/>
          <w:sz w:val="26"/>
          <w:szCs w:val="26"/>
        </w:rPr>
        <w:t xml:space="preserve">Gain access to our latest press releases and expert analysis on developments in your industry. Subscribe to our RSS feed for the </w:t>
      </w:r>
      <w:hyperlink r:id="rId10" w:history="1">
        <w:r>
          <w:rPr>
            <w:rFonts w:ascii="Arial" w:hAnsi="Arial" w:cs="Arial"/>
            <w:b/>
            <w:bCs/>
            <w:color w:val="386EFF"/>
            <w:sz w:val="26"/>
            <w:szCs w:val="26"/>
          </w:rPr>
          <w:t>Oil &amp; Gas</w:t>
        </w:r>
      </w:hyperlink>
      <w:r>
        <w:rPr>
          <w:rFonts w:ascii="Arial" w:hAnsi="Arial" w:cs="Arial"/>
          <w:sz w:val="26"/>
          <w:szCs w:val="26"/>
        </w:rPr>
        <w:t xml:space="preserve"> sector, follow our </w:t>
      </w:r>
      <w:hyperlink r:id="rId11" w:history="1">
        <w:r>
          <w:rPr>
            <w:rFonts w:ascii="Arial" w:hAnsi="Arial" w:cs="Arial"/>
            <w:b/>
            <w:bCs/>
            <w:color w:val="386EFF"/>
            <w:sz w:val="26"/>
            <w:szCs w:val="26"/>
          </w:rPr>
          <w:t>LinkedIn Oil &amp; Gas Showcase Page</w:t>
        </w:r>
      </w:hyperlink>
      <w:r>
        <w:rPr>
          <w:rFonts w:ascii="Arial" w:hAnsi="Arial" w:cs="Arial"/>
          <w:sz w:val="26"/>
          <w:szCs w:val="26"/>
        </w:rPr>
        <w:t>, or connect with us on:</w:t>
      </w:r>
    </w:p>
    <w:p w:rsidR="000B7AEC" w:rsidRDefault="000B7AEC" w:rsidP="000B7AEC">
      <w:pPr>
        <w:widowControl w:val="0"/>
        <w:autoSpaceDE w:val="0"/>
        <w:autoSpaceDN w:val="0"/>
        <w:adjustRightInd w:val="0"/>
        <w:spacing w:after="266"/>
        <w:rPr>
          <w:rFonts w:ascii="Arial" w:hAnsi="Arial" w:cs="Arial"/>
          <w:sz w:val="26"/>
          <w:szCs w:val="26"/>
        </w:rPr>
      </w:pPr>
      <w:hyperlink r:id="rId12" w:history="1">
        <w:r>
          <w:rPr>
            <w:rFonts w:ascii="Arial" w:hAnsi="Arial" w:cs="Arial"/>
            <w:b/>
            <w:bCs/>
            <w:color w:val="386EFF"/>
            <w:sz w:val="26"/>
            <w:szCs w:val="26"/>
          </w:rPr>
          <w:t>Facebook</w:t>
        </w:r>
      </w:hyperlink>
      <w:r>
        <w:rPr>
          <w:rFonts w:ascii="Arial" w:hAnsi="Arial" w:cs="Arial"/>
          <w:sz w:val="26"/>
          <w:szCs w:val="26"/>
        </w:rPr>
        <w:t xml:space="preserve"> | </w:t>
      </w:r>
      <w:hyperlink r:id="rId13" w:history="1">
        <w:r>
          <w:rPr>
            <w:rFonts w:ascii="Arial" w:hAnsi="Arial" w:cs="Arial"/>
            <w:b/>
            <w:bCs/>
            <w:color w:val="386EFF"/>
            <w:sz w:val="26"/>
            <w:szCs w:val="26"/>
          </w:rPr>
          <w:t>LinkedIn</w:t>
        </w:r>
      </w:hyperlink>
      <w:r>
        <w:rPr>
          <w:rFonts w:ascii="Arial" w:hAnsi="Arial" w:cs="Arial"/>
          <w:sz w:val="26"/>
          <w:szCs w:val="26"/>
        </w:rPr>
        <w:t xml:space="preserve"> | </w:t>
      </w:r>
      <w:hyperlink r:id="rId14" w:history="1">
        <w:r>
          <w:rPr>
            <w:rFonts w:ascii="Arial" w:hAnsi="Arial" w:cs="Arial"/>
            <w:b/>
            <w:bCs/>
            <w:color w:val="386EFF"/>
            <w:sz w:val="26"/>
            <w:szCs w:val="26"/>
          </w:rPr>
          <w:t>Twitter</w:t>
        </w:r>
      </w:hyperlink>
    </w:p>
    <w:p w:rsidR="000B7AEC" w:rsidRDefault="000B7AEC" w:rsidP="000B7AEC">
      <w:pPr>
        <w:widowControl w:val="0"/>
        <w:autoSpaceDE w:val="0"/>
        <w:autoSpaceDN w:val="0"/>
        <w:adjustRightInd w:val="0"/>
        <w:rPr>
          <w:rFonts w:ascii="Helvetica" w:hAnsi="Helvetica" w:cs="Helvetica"/>
        </w:rPr>
      </w:pPr>
    </w:p>
    <w:p w:rsidR="000B7AEC" w:rsidRDefault="000B7AEC" w:rsidP="000B7AEC">
      <w:pPr>
        <w:widowControl w:val="0"/>
        <w:autoSpaceDE w:val="0"/>
        <w:autoSpaceDN w:val="0"/>
        <w:adjustRightInd w:val="0"/>
        <w:rPr>
          <w:rFonts w:ascii="Helvetica" w:hAnsi="Helvetica" w:cs="Helvetica"/>
        </w:rPr>
      </w:pPr>
    </w:p>
    <w:p w:rsidR="000B7AEC" w:rsidRDefault="000B7AEC" w:rsidP="000B7AEC">
      <w:pPr>
        <w:widowControl w:val="0"/>
        <w:autoSpaceDE w:val="0"/>
        <w:autoSpaceDN w:val="0"/>
        <w:adjustRightInd w:val="0"/>
        <w:rPr>
          <w:rFonts w:ascii="Arial" w:hAnsi="Arial" w:cs="Arial"/>
          <w:sz w:val="22"/>
          <w:szCs w:val="22"/>
        </w:rPr>
      </w:pPr>
      <w:r>
        <w:rPr>
          <w:rFonts w:ascii="Arial" w:hAnsi="Arial" w:cs="Arial"/>
          <w:sz w:val="22"/>
          <w:szCs w:val="22"/>
        </w:rPr>
        <w:t xml:space="preserve">If you would rather not receive future communications from GlobalData, let us know by clicking </w:t>
      </w:r>
      <w:hyperlink r:id="rId15" w:history="1">
        <w:r>
          <w:rPr>
            <w:rFonts w:ascii="Arial" w:hAnsi="Arial" w:cs="Arial"/>
            <w:color w:val="386EFF"/>
            <w:sz w:val="22"/>
            <w:szCs w:val="22"/>
            <w:u w:val="single" w:color="386EFF"/>
          </w:rPr>
          <w:t>here.</w:t>
        </w:r>
      </w:hyperlink>
    </w:p>
    <w:p w:rsidR="00ED4AB7" w:rsidRDefault="000B7AEC" w:rsidP="000B7AEC">
      <w:r>
        <w:rPr>
          <w:rFonts w:ascii="Arial" w:hAnsi="Arial" w:cs="Arial"/>
          <w:sz w:val="22"/>
          <w:szCs w:val="22"/>
        </w:rPr>
        <w:t>GlobalData, Churchgate House, Floor 6 Oxford Street, Manchester, . M1 6EU United Kingdom</w:t>
      </w:r>
      <w:bookmarkStart w:id="0" w:name="_GoBack"/>
      <w:bookmarkEnd w:id="0"/>
    </w:p>
    <w:sectPr w:rsidR="00ED4AB7" w:rsidSect="008B25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EC"/>
    <w:rsid w:val="000B7AEC"/>
    <w:rsid w:val="008B25E0"/>
    <w:rsid w:val="00ED4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A3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company/oil-&amp;-gas-globaldata" TargetMode="External"/><Relationship Id="rId12" Type="http://schemas.openxmlformats.org/officeDocument/2006/relationships/hyperlink" Target="http://www.facebook.com/globaldataintelligence/" TargetMode="External"/><Relationship Id="rId13" Type="http://schemas.openxmlformats.org/officeDocument/2006/relationships/hyperlink" Target="http://www.linkedin.com/company/218806?trk=tyah" TargetMode="External"/><Relationship Id="rId14" Type="http://schemas.openxmlformats.org/officeDocument/2006/relationships/hyperlink" Target="http://www.twitter.com/#!/globaldataenrgy" TargetMode="External"/><Relationship Id="rId15" Type="http://schemas.openxmlformats.org/officeDocument/2006/relationships/hyperlink" Target="http://eu.vocuspr.com/OptOut.aspx?2895095x21240x11449x1x4905471x24000x6&amp;Email=c.brinkhuizen%40fluxenergie.n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ore.globaldata.com/market-reports/oil-~-gas/q1-global-propylene-capacity-and-capital-expenditure-outlook-china-and-us-to-lead-propylene-industry-expansion?utm_source=email&amp;utm_medium=pr&amp;utm_campaign=160526a_gd_og_pr_propylene_capacity&amp;utm_nooveride=1" TargetMode="External"/><Relationship Id="rId7" Type="http://schemas.openxmlformats.org/officeDocument/2006/relationships/hyperlink" Target="http://store.globaldata.com/market-reports/oil-~-gas/q1-global-propylene-capacity-and-capital-expenditure-outlook-china-and-us-to-lead-propylene-industry-expansion?utm_source=email&amp;utm_medium=pr&amp;utm_campaign=160526b_gd_og_pr_propylene_capacity&amp;utm_nooveride=1" TargetMode="External"/><Relationship Id="rId8" Type="http://schemas.openxmlformats.org/officeDocument/2006/relationships/hyperlink" Target="http://energy.globaldata.com/media-center/quoting-globaldata" TargetMode="External"/><Relationship Id="rId9" Type="http://schemas.openxmlformats.org/officeDocument/2006/relationships/hyperlink" Target="mailto:pr@globaldata.com" TargetMode="External"/><Relationship Id="rId10" Type="http://schemas.openxmlformats.org/officeDocument/2006/relationships/hyperlink" Target="http://www.globaldata.com/rss-feeds/oilandgas.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4293</Characters>
  <Application>Microsoft Macintosh Word</Application>
  <DocSecurity>0</DocSecurity>
  <Lines>35</Lines>
  <Paragraphs>10</Paragraphs>
  <ScaleCrop>false</ScaleCrop>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2016-05-27T06:17:00Z</dcterms:created>
  <dcterms:modified xsi:type="dcterms:W3CDTF">2016-05-27T06:17:00Z</dcterms:modified>
</cp:coreProperties>
</file>