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400" w:type="dxa"/>
        <w:tblBorders>
          <w:top w:val="nil"/>
          <w:left w:val="nil"/>
          <w:right w:val="nil"/>
        </w:tblBorders>
        <w:tblLayout w:type="fixed"/>
        <w:tblLook w:val="0000" w:firstRow="0" w:lastRow="0" w:firstColumn="0" w:lastColumn="0" w:noHBand="0" w:noVBand="0"/>
      </w:tblPr>
      <w:tblGrid>
        <w:gridCol w:w="5753"/>
        <w:gridCol w:w="5915"/>
        <w:gridCol w:w="5732"/>
      </w:tblGrid>
      <w:tr w:rsidR="00215CA1">
        <w:tblPrEx>
          <w:tblCellMar>
            <w:top w:w="0" w:type="dxa"/>
            <w:bottom w:w="0" w:type="dxa"/>
          </w:tblCellMar>
        </w:tblPrEx>
        <w:tc>
          <w:tcPr>
            <w:tcW w:w="5660" w:type="dxa"/>
            <w:tcMar>
              <w:top w:w="20" w:type="nil"/>
              <w:left w:w="20" w:type="nil"/>
              <w:bottom w:w="20" w:type="nil"/>
              <w:right w:w="20" w:type="nil"/>
            </w:tcMar>
            <w:vAlign w:val="center"/>
          </w:tcPr>
          <w:p w:rsidR="00215CA1" w:rsidRDefault="00215CA1">
            <w:pPr>
              <w:widowControl w:val="0"/>
              <w:autoSpaceDE w:val="0"/>
              <w:autoSpaceDN w:val="0"/>
              <w:adjustRightInd w:val="0"/>
              <w:rPr>
                <w:rFonts w:ascii="Helvetica" w:hAnsi="Helvetica" w:cs="Helvetica"/>
              </w:rPr>
            </w:pPr>
            <w:r>
              <w:rPr>
                <w:rFonts w:ascii="Helvetica" w:hAnsi="Helvetica" w:cs="Helvetica"/>
              </w:rPr>
              <w:t> </w:t>
            </w:r>
          </w:p>
        </w:tc>
        <w:tc>
          <w:tcPr>
            <w:tcW w:w="5820" w:type="dxa"/>
            <w:tcMar>
              <w:top w:w="20" w:type="nil"/>
              <w:left w:w="20" w:type="nil"/>
              <w:bottom w:w="20" w:type="nil"/>
              <w:right w:w="20" w:type="nil"/>
            </w:tcMar>
            <w:vAlign w:val="center"/>
          </w:tcPr>
          <w:p w:rsidR="00215CA1" w:rsidRDefault="00215CA1">
            <w:pPr>
              <w:widowControl w:val="0"/>
              <w:autoSpaceDE w:val="0"/>
              <w:autoSpaceDN w:val="0"/>
              <w:adjustRightInd w:val="0"/>
              <w:rPr>
                <w:rFonts w:ascii="Helvetica" w:hAnsi="Helvetica" w:cs="Helvetica"/>
              </w:rPr>
            </w:pPr>
            <w:r>
              <w:rPr>
                <w:rFonts w:ascii="Helvetica" w:hAnsi="Helvetica" w:cs="Helvetica"/>
              </w:rPr>
              <w:t> </w:t>
            </w:r>
          </w:p>
        </w:tc>
        <w:tc>
          <w:tcPr>
            <w:tcW w:w="5640" w:type="dxa"/>
            <w:tcMar>
              <w:top w:w="20" w:type="nil"/>
              <w:left w:w="20" w:type="nil"/>
              <w:bottom w:w="20" w:type="nil"/>
              <w:right w:w="20" w:type="nil"/>
            </w:tcMar>
            <w:vAlign w:val="center"/>
          </w:tcPr>
          <w:p w:rsidR="00215CA1" w:rsidRDefault="00215CA1">
            <w:pPr>
              <w:widowControl w:val="0"/>
              <w:autoSpaceDE w:val="0"/>
              <w:autoSpaceDN w:val="0"/>
              <w:adjustRightInd w:val="0"/>
              <w:jc w:val="right"/>
              <w:rPr>
                <w:rFonts w:ascii="Helvetica" w:hAnsi="Helvetica" w:cs="Helvetica"/>
              </w:rPr>
            </w:pPr>
            <w:r>
              <w:rPr>
                <w:rFonts w:ascii="Helvetica" w:hAnsi="Helvetica" w:cs="Helvetica"/>
              </w:rPr>
              <w:t> </w:t>
            </w:r>
          </w:p>
        </w:tc>
      </w:tr>
    </w:tbl>
    <w:p w:rsidR="00215CA1" w:rsidRDefault="00215CA1" w:rsidP="00215CA1">
      <w:pPr>
        <w:widowControl w:val="0"/>
        <w:autoSpaceDE w:val="0"/>
        <w:autoSpaceDN w:val="0"/>
        <w:adjustRightInd w:val="0"/>
        <w:rPr>
          <w:rFonts w:ascii="Helvetica" w:hAnsi="Helvetica" w:cs="Helvetica"/>
        </w:rPr>
      </w:pPr>
    </w:p>
    <w:p w:rsidR="00215CA1" w:rsidRDefault="00215CA1" w:rsidP="00215CA1">
      <w:pPr>
        <w:widowControl w:val="0"/>
        <w:autoSpaceDE w:val="0"/>
        <w:autoSpaceDN w:val="0"/>
        <w:adjustRightInd w:val="0"/>
        <w:rPr>
          <w:rFonts w:ascii="Arial" w:hAnsi="Arial" w:cs="Arial"/>
          <w:sz w:val="32"/>
          <w:szCs w:val="32"/>
        </w:rPr>
      </w:pPr>
      <w:r>
        <w:rPr>
          <w:rFonts w:ascii="Arial" w:hAnsi="Arial" w:cs="Arial"/>
          <w:b/>
          <w:bCs/>
          <w:sz w:val="32"/>
          <w:szCs w:val="32"/>
        </w:rPr>
        <w:t>REMINDER: IEA to launch Energy Technology Perspectives 2016 at CEM7, June 1, San Francisco</w:t>
      </w:r>
    </w:p>
    <w:p w:rsidR="00215CA1" w:rsidRDefault="00215CA1" w:rsidP="00215CA1">
      <w:pPr>
        <w:widowControl w:val="0"/>
        <w:autoSpaceDE w:val="0"/>
        <w:autoSpaceDN w:val="0"/>
        <w:adjustRightInd w:val="0"/>
        <w:rPr>
          <w:rFonts w:ascii="Helvetica" w:hAnsi="Helvetica" w:cs="Helvetica"/>
        </w:rPr>
      </w:pPr>
    </w:p>
    <w:p w:rsidR="00215CA1" w:rsidRDefault="00215CA1" w:rsidP="00215CA1">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extent cx="4565650" cy="552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5650" cy="552450"/>
                    </a:xfrm>
                    <a:prstGeom prst="rect">
                      <a:avLst/>
                    </a:prstGeom>
                    <a:noFill/>
                    <a:ln>
                      <a:noFill/>
                    </a:ln>
                  </pic:spPr>
                </pic:pic>
              </a:graphicData>
            </a:graphic>
          </wp:inline>
        </w:drawing>
      </w:r>
    </w:p>
    <w:p w:rsidR="00215CA1" w:rsidRDefault="00215CA1" w:rsidP="00215CA1">
      <w:pPr>
        <w:widowControl w:val="0"/>
        <w:autoSpaceDE w:val="0"/>
        <w:autoSpaceDN w:val="0"/>
        <w:adjustRightInd w:val="0"/>
        <w:rPr>
          <w:rFonts w:ascii="Arial" w:hAnsi="Arial" w:cs="Arial"/>
          <w:sz w:val="30"/>
          <w:szCs w:val="30"/>
        </w:rPr>
      </w:pPr>
      <w:r>
        <w:rPr>
          <w:rFonts w:ascii="Arial" w:hAnsi="Arial" w:cs="Arial"/>
          <w:sz w:val="30"/>
          <w:szCs w:val="30"/>
        </w:rPr>
        <w:t> </w:t>
      </w:r>
    </w:p>
    <w:p w:rsidR="00215CA1" w:rsidRDefault="00215CA1" w:rsidP="00215CA1">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42"/>
          <w:szCs w:val="42"/>
        </w:rPr>
        <w:t>The international launch of</w:t>
      </w:r>
    </w:p>
    <w:p w:rsidR="00215CA1" w:rsidRDefault="00215CA1" w:rsidP="00215CA1">
      <w:pPr>
        <w:widowControl w:val="0"/>
        <w:autoSpaceDE w:val="0"/>
        <w:autoSpaceDN w:val="0"/>
        <w:adjustRightInd w:val="0"/>
        <w:jc w:val="center"/>
        <w:rPr>
          <w:rFonts w:ascii="Arial" w:hAnsi="Arial" w:cs="Arial"/>
          <w:sz w:val="30"/>
          <w:szCs w:val="30"/>
        </w:rPr>
      </w:pPr>
      <w:r>
        <w:rPr>
          <w:rFonts w:ascii="Arial" w:hAnsi="Arial" w:cs="Arial"/>
          <w:b/>
          <w:bCs/>
          <w:i/>
          <w:iCs/>
          <w:color w:val="0F7001"/>
          <w:sz w:val="48"/>
          <w:szCs w:val="48"/>
        </w:rPr>
        <w:t>Energy Technology Perspectives 2016</w:t>
      </w:r>
    </w:p>
    <w:p w:rsidR="00215CA1" w:rsidRDefault="00215CA1" w:rsidP="00215CA1">
      <w:pPr>
        <w:widowControl w:val="0"/>
        <w:autoSpaceDE w:val="0"/>
        <w:autoSpaceDN w:val="0"/>
        <w:adjustRightInd w:val="0"/>
        <w:spacing w:after="373"/>
        <w:jc w:val="center"/>
        <w:rPr>
          <w:rFonts w:ascii="Times New Roman" w:hAnsi="Times New Roman" w:cs="Times New Roman"/>
          <w:sz w:val="32"/>
          <w:szCs w:val="32"/>
        </w:rPr>
      </w:pPr>
      <w:r>
        <w:rPr>
          <w:rFonts w:ascii="Arial" w:hAnsi="Arial" w:cs="Arial"/>
          <w:b/>
          <w:bCs/>
          <w:color w:val="0F7001"/>
          <w:sz w:val="42"/>
          <w:szCs w:val="42"/>
        </w:rPr>
        <w:t xml:space="preserve">On Wednesday, 1 June 2016, 2:45 - 3:45 p.m. </w:t>
      </w:r>
      <w:r>
        <w:rPr>
          <w:rFonts w:ascii="Arial" w:hAnsi="Arial" w:cs="Arial"/>
          <w:b/>
          <w:bCs/>
          <w:color w:val="0F7001"/>
          <w:sz w:val="42"/>
          <w:szCs w:val="42"/>
          <w:u w:val="single"/>
        </w:rPr>
        <w:t>San Francisco time</w:t>
      </w:r>
    </w:p>
    <w:p w:rsidR="00215CA1" w:rsidRDefault="00215CA1" w:rsidP="00215CA1">
      <w:pPr>
        <w:widowControl w:val="0"/>
        <w:autoSpaceDE w:val="0"/>
        <w:autoSpaceDN w:val="0"/>
        <w:adjustRightInd w:val="0"/>
        <w:jc w:val="center"/>
        <w:rPr>
          <w:rFonts w:ascii="Arial" w:hAnsi="Arial" w:cs="Arial"/>
          <w:sz w:val="30"/>
          <w:szCs w:val="30"/>
        </w:rPr>
      </w:pPr>
      <w:r>
        <w:rPr>
          <w:rFonts w:ascii="Arial" w:hAnsi="Arial" w:cs="Arial"/>
          <w:b/>
          <w:bCs/>
          <w:sz w:val="42"/>
          <w:szCs w:val="42"/>
        </w:rPr>
        <w:t xml:space="preserve">At the </w:t>
      </w:r>
      <w:hyperlink r:id="rId7" w:history="1">
        <w:r>
          <w:rPr>
            <w:rFonts w:ascii="Arial" w:hAnsi="Arial" w:cs="Arial"/>
            <w:b/>
            <w:bCs/>
            <w:color w:val="0000FF"/>
            <w:sz w:val="42"/>
            <w:szCs w:val="42"/>
            <w:u w:val="single" w:color="0000FF"/>
          </w:rPr>
          <w:t>7</w:t>
        </w:r>
        <w:r>
          <w:rPr>
            <w:rFonts w:ascii="Arial" w:hAnsi="Arial" w:cs="Arial"/>
            <w:b/>
            <w:bCs/>
            <w:color w:val="0000FF"/>
            <w:sz w:val="34"/>
            <w:szCs w:val="34"/>
            <w:u w:color="0000FF"/>
          </w:rPr>
          <w:t>th</w:t>
        </w:r>
        <w:r>
          <w:rPr>
            <w:rFonts w:ascii="Arial" w:hAnsi="Arial" w:cs="Arial"/>
            <w:b/>
            <w:bCs/>
            <w:color w:val="0000FF"/>
            <w:sz w:val="42"/>
            <w:szCs w:val="42"/>
            <w:u w:val="single" w:color="0000FF"/>
          </w:rPr>
          <w:t xml:space="preserve"> Clean Energy Ministerial</w:t>
        </w:r>
      </w:hyperlink>
      <w:r>
        <w:rPr>
          <w:rFonts w:ascii="Arial" w:hAnsi="Arial" w:cs="Arial"/>
          <w:b/>
          <w:bCs/>
          <w:sz w:val="42"/>
          <w:szCs w:val="42"/>
        </w:rPr>
        <w:t xml:space="preserve"> (CEM7) </w:t>
      </w:r>
      <w:r>
        <w:rPr>
          <w:rFonts w:ascii="Arial" w:hAnsi="Arial" w:cs="Arial"/>
          <w:sz w:val="32"/>
          <w:szCs w:val="32"/>
        </w:rPr>
        <w:t>Westin St. Francis Hotel, Borgia room</w:t>
      </w:r>
    </w:p>
    <w:p w:rsidR="00215CA1" w:rsidRDefault="00215CA1" w:rsidP="00215CA1">
      <w:pPr>
        <w:widowControl w:val="0"/>
        <w:autoSpaceDE w:val="0"/>
        <w:autoSpaceDN w:val="0"/>
        <w:adjustRightInd w:val="0"/>
        <w:jc w:val="center"/>
        <w:rPr>
          <w:rFonts w:ascii="Arial" w:hAnsi="Arial" w:cs="Arial"/>
          <w:sz w:val="30"/>
          <w:szCs w:val="30"/>
        </w:rPr>
      </w:pPr>
      <w:r>
        <w:rPr>
          <w:rFonts w:ascii="Arial" w:hAnsi="Arial" w:cs="Arial"/>
          <w:sz w:val="32"/>
          <w:szCs w:val="32"/>
        </w:rPr>
        <w:t>335 Powell Street, San Francisco, CA 94102</w:t>
      </w:r>
    </w:p>
    <w:p w:rsidR="00215CA1" w:rsidRDefault="00215CA1" w:rsidP="00215CA1">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38"/>
          <w:szCs w:val="38"/>
        </w:rPr>
        <w:t>With the participation of</w:t>
      </w:r>
    </w:p>
    <w:p w:rsidR="00215CA1" w:rsidRDefault="00215CA1" w:rsidP="00215CA1">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color w:val="0F7001"/>
          <w:sz w:val="48"/>
          <w:szCs w:val="48"/>
        </w:rPr>
        <w:t>Fatih Birol</w:t>
      </w:r>
      <w:r>
        <w:rPr>
          <w:rFonts w:ascii="Arial" w:hAnsi="Arial" w:cs="Arial"/>
          <w:b/>
          <w:bCs/>
          <w:color w:val="0F7001"/>
          <w:sz w:val="42"/>
          <w:szCs w:val="42"/>
        </w:rPr>
        <w:t> </w:t>
      </w:r>
      <w:r>
        <w:rPr>
          <w:rFonts w:ascii="Arial" w:hAnsi="Arial" w:cs="Arial"/>
          <w:color w:val="0F7001"/>
          <w:sz w:val="42"/>
          <w:szCs w:val="42"/>
        </w:rPr>
        <w:t>Executive Director, International Energy Agency (IEA)</w:t>
      </w:r>
    </w:p>
    <w:p w:rsidR="00215CA1" w:rsidRDefault="00215CA1" w:rsidP="00215CA1">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48"/>
          <w:szCs w:val="48"/>
        </w:rPr>
        <w:t>Kamel Ben Naceur</w:t>
      </w:r>
      <w:r>
        <w:rPr>
          <w:rFonts w:ascii="Arial" w:hAnsi="Arial" w:cs="Arial"/>
          <w:sz w:val="32"/>
          <w:szCs w:val="32"/>
        </w:rPr>
        <w:t> </w:t>
      </w:r>
      <w:r>
        <w:rPr>
          <w:rFonts w:ascii="Arial" w:hAnsi="Arial" w:cs="Arial"/>
          <w:sz w:val="42"/>
          <w:szCs w:val="42"/>
        </w:rPr>
        <w:t>Director of Sustainable Energy Policy and Technology, IEA</w:t>
      </w:r>
    </w:p>
    <w:p w:rsidR="00215CA1" w:rsidRDefault="00215CA1" w:rsidP="00215CA1">
      <w:pPr>
        <w:widowControl w:val="0"/>
        <w:autoSpaceDE w:val="0"/>
        <w:autoSpaceDN w:val="0"/>
        <w:adjustRightInd w:val="0"/>
        <w:spacing w:after="320"/>
        <w:jc w:val="both"/>
        <w:rPr>
          <w:rFonts w:ascii="Times New Roman" w:hAnsi="Times New Roman" w:cs="Times New Roman"/>
          <w:sz w:val="32"/>
          <w:szCs w:val="32"/>
        </w:rPr>
      </w:pPr>
      <w:r>
        <w:rPr>
          <w:rFonts w:ascii="Arial" w:hAnsi="Arial" w:cs="Arial"/>
          <w:sz w:val="32"/>
          <w:szCs w:val="32"/>
        </w:rPr>
        <w:t xml:space="preserve">Cities drive economic growth but can also drive sustainable change. As the share of the world's population living in cities rises, ambitious action in urban areas can be instrumental in achieving long-term sustainability of the global energy system - including the carbon emission reductions required </w:t>
      </w:r>
      <w:r>
        <w:rPr>
          <w:rFonts w:ascii="Arial" w:hAnsi="Arial" w:cs="Arial"/>
          <w:sz w:val="32"/>
          <w:szCs w:val="32"/>
        </w:rPr>
        <w:lastRenderedPageBreak/>
        <w:t>to meet the climate goals reached at COP21 in Paris. Support from national governments is a strategic prerequisite for leveraging the potential for sustainable energy technology and policy in cities that too often lies untapped.</w:t>
      </w:r>
    </w:p>
    <w:p w:rsidR="00215CA1" w:rsidRDefault="00215CA1" w:rsidP="00215CA1">
      <w:pPr>
        <w:widowControl w:val="0"/>
        <w:autoSpaceDE w:val="0"/>
        <w:autoSpaceDN w:val="0"/>
        <w:adjustRightInd w:val="0"/>
        <w:spacing w:after="320"/>
        <w:jc w:val="both"/>
        <w:rPr>
          <w:rFonts w:ascii="Times New Roman" w:hAnsi="Times New Roman" w:cs="Times New Roman"/>
          <w:sz w:val="32"/>
          <w:szCs w:val="32"/>
        </w:rPr>
      </w:pPr>
      <w:r>
        <w:rPr>
          <w:rFonts w:ascii="Arial" w:hAnsi="Arial" w:cs="Arial"/>
          <w:sz w:val="32"/>
          <w:szCs w:val="32"/>
        </w:rPr>
        <w:t>With global energy demand set to become even greater over the coming decades, </w:t>
      </w:r>
      <w:r>
        <w:rPr>
          <w:rFonts w:ascii="Arial" w:hAnsi="Arial" w:cs="Arial"/>
          <w:i/>
          <w:iCs/>
          <w:sz w:val="32"/>
          <w:szCs w:val="32"/>
        </w:rPr>
        <w:t>Energy Technology Perspectives 2016</w:t>
      </w:r>
      <w:r>
        <w:rPr>
          <w:rFonts w:ascii="Arial" w:hAnsi="Arial" w:cs="Arial"/>
          <w:sz w:val="32"/>
          <w:szCs w:val="32"/>
        </w:rPr>
        <w:t> (</w:t>
      </w:r>
      <w:r>
        <w:rPr>
          <w:rFonts w:ascii="Arial" w:hAnsi="Arial" w:cs="Arial"/>
          <w:i/>
          <w:iCs/>
          <w:sz w:val="32"/>
          <w:szCs w:val="32"/>
        </w:rPr>
        <w:t>ETP2016</w:t>
      </w:r>
      <w:r>
        <w:rPr>
          <w:rFonts w:ascii="Arial" w:hAnsi="Arial" w:cs="Arial"/>
          <w:sz w:val="32"/>
          <w:szCs w:val="32"/>
        </w:rPr>
        <w:t>) looks at the technology and policy opportunities available for accelerating the transition to sustainable urban energy systems. Such potential could be the key to successfully driving an energy transition that many still think impossible, provided local and national actions can be aligned to meet both levels of sustainability objectives. Indeed, policies still have a long way to go in this regard: </w:t>
      </w:r>
      <w:r>
        <w:rPr>
          <w:rFonts w:ascii="Arial" w:hAnsi="Arial" w:cs="Arial"/>
          <w:i/>
          <w:iCs/>
          <w:sz w:val="32"/>
          <w:szCs w:val="32"/>
        </w:rPr>
        <w:t>ETP2016</w:t>
      </w:r>
      <w:r>
        <w:rPr>
          <w:rFonts w:ascii="Arial" w:hAnsi="Arial" w:cs="Arial"/>
          <w:sz w:val="32"/>
          <w:szCs w:val="32"/>
        </w:rPr>
        <w:t> presents the IEA's annual Tracking Clean Energy Progress report, which finds once again that despite some notable progress, the rate of needed improvements is far slower than required to meet energy sector sustainability goals.</w:t>
      </w:r>
    </w:p>
    <w:p w:rsidR="00215CA1" w:rsidRDefault="00215CA1" w:rsidP="00215CA1">
      <w:pPr>
        <w:widowControl w:val="0"/>
        <w:autoSpaceDE w:val="0"/>
        <w:autoSpaceDN w:val="0"/>
        <w:adjustRightInd w:val="0"/>
        <w:spacing w:after="320"/>
        <w:jc w:val="both"/>
        <w:rPr>
          <w:rFonts w:ascii="Times New Roman" w:hAnsi="Times New Roman" w:cs="Times New Roman"/>
          <w:sz w:val="32"/>
          <w:szCs w:val="32"/>
        </w:rPr>
      </w:pPr>
      <w:r>
        <w:rPr>
          <w:rFonts w:ascii="Arial" w:hAnsi="Arial" w:cs="Arial"/>
          <w:sz w:val="32"/>
          <w:szCs w:val="32"/>
        </w:rPr>
        <w:t>By setting out sustainable energy transition pathways that incorporate detailed and transparent quantitative analysis alongside well-rounded commentary, </w:t>
      </w:r>
      <w:r>
        <w:rPr>
          <w:rFonts w:ascii="Arial" w:hAnsi="Arial" w:cs="Arial"/>
          <w:i/>
          <w:iCs/>
          <w:sz w:val="32"/>
          <w:szCs w:val="32"/>
        </w:rPr>
        <w:t>ETP2016</w:t>
      </w:r>
      <w:r>
        <w:rPr>
          <w:rFonts w:ascii="Arial" w:hAnsi="Arial" w:cs="Arial"/>
          <w:sz w:val="32"/>
          <w:szCs w:val="32"/>
        </w:rPr>
        <w:t> and its series of related publications have become required reading not only for experts in the energy field, policy makers and heads of government, but also for business leaders and investors. </w:t>
      </w:r>
    </w:p>
    <w:p w:rsidR="00215CA1" w:rsidRDefault="00215CA1" w:rsidP="00215CA1">
      <w:pPr>
        <w:widowControl w:val="0"/>
        <w:autoSpaceDE w:val="0"/>
        <w:autoSpaceDN w:val="0"/>
        <w:adjustRightInd w:val="0"/>
        <w:rPr>
          <w:rFonts w:ascii="Arial" w:hAnsi="Arial" w:cs="Arial"/>
          <w:sz w:val="30"/>
          <w:szCs w:val="30"/>
        </w:rPr>
      </w:pPr>
      <w:r>
        <w:rPr>
          <w:rFonts w:ascii="Arial" w:hAnsi="Arial" w:cs="Arial"/>
          <w:b/>
          <w:bCs/>
          <w:sz w:val="26"/>
          <w:szCs w:val="26"/>
        </w:rPr>
        <w:t> </w:t>
      </w:r>
      <w:r>
        <w:rPr>
          <w:rFonts w:ascii="Arial" w:hAnsi="Arial" w:cs="Arial"/>
          <w:b/>
          <w:bCs/>
          <w:sz w:val="38"/>
          <w:szCs w:val="38"/>
        </w:rPr>
        <w:t xml:space="preserve">All journalists interested in covering this event must be registered for CEM7. To register, send an email by close of business on May 25 to </w:t>
      </w:r>
      <w:hyperlink r:id="rId8" w:history="1">
        <w:r>
          <w:rPr>
            <w:rFonts w:ascii="Arial" w:hAnsi="Arial" w:cs="Arial"/>
            <w:b/>
            <w:bCs/>
            <w:color w:val="0000FF"/>
            <w:sz w:val="38"/>
            <w:szCs w:val="38"/>
            <w:u w:val="single" w:color="0000FF"/>
          </w:rPr>
          <w:t>CEMSecretariat@hq.doe.gov</w:t>
        </w:r>
      </w:hyperlink>
      <w:r>
        <w:rPr>
          <w:rFonts w:ascii="Arial" w:hAnsi="Arial" w:cs="Arial"/>
          <w:sz w:val="38"/>
          <w:szCs w:val="38"/>
        </w:rPr>
        <w:t>. Your email should have Media Registration in the subject line and must include the following information:</w:t>
      </w:r>
    </w:p>
    <w:p w:rsidR="00215CA1" w:rsidRDefault="00215CA1" w:rsidP="00215CA1">
      <w:pPr>
        <w:widowControl w:val="0"/>
        <w:numPr>
          <w:ilvl w:val="0"/>
          <w:numId w:val="1"/>
        </w:numPr>
        <w:tabs>
          <w:tab w:val="left" w:pos="220"/>
          <w:tab w:val="left" w:pos="720"/>
        </w:tabs>
        <w:autoSpaceDE w:val="0"/>
        <w:autoSpaceDN w:val="0"/>
        <w:adjustRightInd w:val="0"/>
        <w:ind w:hanging="720"/>
        <w:rPr>
          <w:rFonts w:ascii="Arial" w:hAnsi="Arial" w:cs="Arial"/>
          <w:sz w:val="38"/>
          <w:szCs w:val="38"/>
        </w:rPr>
      </w:pPr>
      <w:r>
        <w:rPr>
          <w:rFonts w:ascii="Arial" w:hAnsi="Arial" w:cs="Arial"/>
          <w:sz w:val="38"/>
          <w:szCs w:val="38"/>
        </w:rPr>
        <w:t>Full name</w:t>
      </w:r>
    </w:p>
    <w:p w:rsidR="00215CA1" w:rsidRDefault="00215CA1" w:rsidP="00215CA1">
      <w:pPr>
        <w:widowControl w:val="0"/>
        <w:numPr>
          <w:ilvl w:val="0"/>
          <w:numId w:val="1"/>
        </w:numPr>
        <w:tabs>
          <w:tab w:val="left" w:pos="220"/>
          <w:tab w:val="left" w:pos="720"/>
        </w:tabs>
        <w:autoSpaceDE w:val="0"/>
        <w:autoSpaceDN w:val="0"/>
        <w:adjustRightInd w:val="0"/>
        <w:ind w:hanging="720"/>
        <w:rPr>
          <w:rFonts w:ascii="Arial" w:hAnsi="Arial" w:cs="Arial"/>
          <w:sz w:val="38"/>
          <w:szCs w:val="38"/>
        </w:rPr>
      </w:pPr>
      <w:r>
        <w:rPr>
          <w:rFonts w:ascii="Arial" w:hAnsi="Arial" w:cs="Arial"/>
          <w:sz w:val="38"/>
          <w:szCs w:val="38"/>
        </w:rPr>
        <w:t>Media organization</w:t>
      </w:r>
    </w:p>
    <w:p w:rsidR="00215CA1" w:rsidRDefault="00215CA1" w:rsidP="00215CA1">
      <w:pPr>
        <w:widowControl w:val="0"/>
        <w:numPr>
          <w:ilvl w:val="0"/>
          <w:numId w:val="1"/>
        </w:numPr>
        <w:tabs>
          <w:tab w:val="left" w:pos="220"/>
          <w:tab w:val="left" w:pos="720"/>
        </w:tabs>
        <w:autoSpaceDE w:val="0"/>
        <w:autoSpaceDN w:val="0"/>
        <w:adjustRightInd w:val="0"/>
        <w:ind w:hanging="720"/>
        <w:rPr>
          <w:rFonts w:ascii="Arial" w:hAnsi="Arial" w:cs="Arial"/>
          <w:sz w:val="38"/>
          <w:szCs w:val="38"/>
        </w:rPr>
      </w:pPr>
      <w:r>
        <w:rPr>
          <w:rFonts w:ascii="Arial" w:hAnsi="Arial" w:cs="Arial"/>
          <w:sz w:val="38"/>
          <w:szCs w:val="38"/>
        </w:rPr>
        <w:t>Type of media to be represented: print, photo, radio, TV, film, or online media</w:t>
      </w:r>
    </w:p>
    <w:p w:rsidR="00215CA1" w:rsidRDefault="00215CA1" w:rsidP="00215CA1">
      <w:pPr>
        <w:widowControl w:val="0"/>
        <w:numPr>
          <w:ilvl w:val="0"/>
          <w:numId w:val="1"/>
        </w:numPr>
        <w:tabs>
          <w:tab w:val="left" w:pos="220"/>
          <w:tab w:val="left" w:pos="720"/>
        </w:tabs>
        <w:autoSpaceDE w:val="0"/>
        <w:autoSpaceDN w:val="0"/>
        <w:adjustRightInd w:val="0"/>
        <w:ind w:hanging="720"/>
        <w:rPr>
          <w:rFonts w:ascii="Arial" w:hAnsi="Arial" w:cs="Arial"/>
          <w:sz w:val="38"/>
          <w:szCs w:val="38"/>
        </w:rPr>
      </w:pPr>
      <w:r>
        <w:rPr>
          <w:rFonts w:ascii="Arial" w:hAnsi="Arial" w:cs="Arial"/>
          <w:sz w:val="38"/>
          <w:szCs w:val="38"/>
        </w:rPr>
        <w:t>Email address</w:t>
      </w:r>
    </w:p>
    <w:p w:rsidR="00215CA1" w:rsidRDefault="00215CA1" w:rsidP="00215CA1">
      <w:pPr>
        <w:widowControl w:val="0"/>
        <w:numPr>
          <w:ilvl w:val="0"/>
          <w:numId w:val="1"/>
        </w:numPr>
        <w:tabs>
          <w:tab w:val="left" w:pos="220"/>
          <w:tab w:val="left" w:pos="720"/>
        </w:tabs>
        <w:autoSpaceDE w:val="0"/>
        <w:autoSpaceDN w:val="0"/>
        <w:adjustRightInd w:val="0"/>
        <w:ind w:hanging="720"/>
        <w:rPr>
          <w:rFonts w:ascii="Arial" w:hAnsi="Arial" w:cs="Arial"/>
          <w:sz w:val="38"/>
          <w:szCs w:val="38"/>
        </w:rPr>
      </w:pPr>
      <w:r>
        <w:rPr>
          <w:rFonts w:ascii="Arial" w:hAnsi="Arial" w:cs="Arial"/>
          <w:sz w:val="38"/>
          <w:szCs w:val="38"/>
        </w:rPr>
        <w:t>Phone number</w:t>
      </w:r>
    </w:p>
    <w:p w:rsidR="00215CA1" w:rsidRDefault="00215CA1" w:rsidP="00215CA1">
      <w:pPr>
        <w:widowControl w:val="0"/>
        <w:numPr>
          <w:ilvl w:val="0"/>
          <w:numId w:val="1"/>
        </w:numPr>
        <w:tabs>
          <w:tab w:val="left" w:pos="220"/>
          <w:tab w:val="left" w:pos="720"/>
        </w:tabs>
        <w:autoSpaceDE w:val="0"/>
        <w:autoSpaceDN w:val="0"/>
        <w:adjustRightInd w:val="0"/>
        <w:ind w:hanging="720"/>
        <w:rPr>
          <w:rFonts w:ascii="Arial" w:hAnsi="Arial" w:cs="Arial"/>
          <w:sz w:val="38"/>
          <w:szCs w:val="38"/>
        </w:rPr>
      </w:pPr>
      <w:r>
        <w:rPr>
          <w:rFonts w:ascii="Arial" w:hAnsi="Arial" w:cs="Arial"/>
          <w:sz w:val="38"/>
          <w:szCs w:val="38"/>
        </w:rPr>
        <w:t>Legible scanned copy of your press card</w:t>
      </w:r>
    </w:p>
    <w:p w:rsidR="00215CA1" w:rsidRDefault="00215CA1" w:rsidP="00215CA1">
      <w:pPr>
        <w:widowControl w:val="0"/>
        <w:autoSpaceDE w:val="0"/>
        <w:autoSpaceDN w:val="0"/>
        <w:adjustRightInd w:val="0"/>
        <w:rPr>
          <w:rFonts w:ascii="Arial" w:hAnsi="Arial" w:cs="Arial"/>
          <w:sz w:val="30"/>
          <w:szCs w:val="30"/>
        </w:rPr>
      </w:pPr>
      <w:r>
        <w:rPr>
          <w:rFonts w:ascii="Arial" w:hAnsi="Arial" w:cs="Arial"/>
          <w:sz w:val="38"/>
          <w:szCs w:val="38"/>
        </w:rPr>
        <w:t>Media credentials can be collected the day of the event.</w:t>
      </w:r>
    </w:p>
    <w:p w:rsidR="00215CA1" w:rsidRDefault="00215CA1" w:rsidP="00215CA1">
      <w:pPr>
        <w:widowControl w:val="0"/>
        <w:autoSpaceDE w:val="0"/>
        <w:autoSpaceDN w:val="0"/>
        <w:adjustRightInd w:val="0"/>
        <w:rPr>
          <w:rFonts w:ascii="Arial" w:hAnsi="Arial" w:cs="Arial"/>
          <w:sz w:val="30"/>
          <w:szCs w:val="30"/>
        </w:rPr>
      </w:pPr>
      <w:r>
        <w:rPr>
          <w:rFonts w:ascii="Arial" w:hAnsi="Arial" w:cs="Arial"/>
          <w:sz w:val="38"/>
          <w:szCs w:val="38"/>
        </w:rPr>
        <w:t> </w:t>
      </w:r>
    </w:p>
    <w:p w:rsidR="00215CA1" w:rsidRDefault="00215CA1" w:rsidP="00215CA1">
      <w:pPr>
        <w:widowControl w:val="0"/>
        <w:autoSpaceDE w:val="0"/>
        <w:autoSpaceDN w:val="0"/>
        <w:adjustRightInd w:val="0"/>
        <w:rPr>
          <w:rFonts w:ascii="Arial" w:hAnsi="Arial" w:cs="Arial"/>
          <w:sz w:val="30"/>
          <w:szCs w:val="30"/>
        </w:rPr>
      </w:pPr>
      <w:r>
        <w:rPr>
          <w:rFonts w:ascii="Arial" w:hAnsi="Arial" w:cs="Arial"/>
          <w:b/>
          <w:bCs/>
          <w:sz w:val="32"/>
          <w:szCs w:val="32"/>
        </w:rPr>
        <w:t xml:space="preserve">Journalists who wish to schedule an interview should email </w:t>
      </w:r>
      <w:hyperlink r:id="rId9" w:history="1">
        <w:r>
          <w:rPr>
            <w:rFonts w:ascii="Arial" w:hAnsi="Arial" w:cs="Arial"/>
            <w:b/>
            <w:bCs/>
            <w:color w:val="0F7001"/>
            <w:sz w:val="32"/>
            <w:szCs w:val="32"/>
            <w:u w:val="single" w:color="0F7001"/>
          </w:rPr>
          <w:t>press@iea.org</w:t>
        </w:r>
      </w:hyperlink>
      <w:r>
        <w:rPr>
          <w:rFonts w:ascii="Arial" w:hAnsi="Arial" w:cs="Arial"/>
          <w:b/>
          <w:bCs/>
          <w:color w:val="0F7001"/>
          <w:sz w:val="32"/>
          <w:szCs w:val="32"/>
        </w:rPr>
        <w:t>. </w:t>
      </w:r>
      <w:r>
        <w:rPr>
          <w:rFonts w:ascii="Arial" w:hAnsi="Arial" w:cs="Arial"/>
          <w:sz w:val="32"/>
          <w:szCs w:val="32"/>
        </w:rPr>
        <w:t xml:space="preserve">Further questions should be directed to </w:t>
      </w:r>
      <w:hyperlink r:id="rId10" w:history="1">
        <w:r>
          <w:rPr>
            <w:rFonts w:ascii="Arial" w:hAnsi="Arial" w:cs="Arial"/>
            <w:b/>
            <w:bCs/>
            <w:color w:val="0F7001"/>
            <w:sz w:val="32"/>
            <w:szCs w:val="32"/>
            <w:u w:val="single" w:color="0F7001"/>
          </w:rPr>
          <w:t>press@iea.org</w:t>
        </w:r>
      </w:hyperlink>
    </w:p>
    <w:p w:rsidR="00215CA1" w:rsidRDefault="00215CA1" w:rsidP="00215CA1">
      <w:pPr>
        <w:widowControl w:val="0"/>
        <w:autoSpaceDE w:val="0"/>
        <w:autoSpaceDN w:val="0"/>
        <w:adjustRightInd w:val="0"/>
        <w:rPr>
          <w:rFonts w:ascii="Helvetica" w:hAnsi="Helvetica" w:cs="Helvetica"/>
        </w:rPr>
      </w:pPr>
    </w:p>
    <w:p w:rsidR="00215CA1" w:rsidRDefault="00215CA1" w:rsidP="00215CA1">
      <w:pPr>
        <w:widowControl w:val="0"/>
        <w:autoSpaceDE w:val="0"/>
        <w:autoSpaceDN w:val="0"/>
        <w:adjustRightInd w:val="0"/>
        <w:rPr>
          <w:rFonts w:ascii="Helvetica" w:hAnsi="Helvetica" w:cs="Helvetica"/>
        </w:rPr>
      </w:pPr>
    </w:p>
    <w:p w:rsidR="00215CA1" w:rsidRDefault="00215CA1" w:rsidP="00215CA1">
      <w:pPr>
        <w:widowControl w:val="0"/>
        <w:autoSpaceDE w:val="0"/>
        <w:autoSpaceDN w:val="0"/>
        <w:adjustRightInd w:val="0"/>
        <w:spacing w:after="266"/>
        <w:rPr>
          <w:rFonts w:ascii="Arial" w:hAnsi="Arial" w:cs="Arial"/>
          <w:sz w:val="26"/>
          <w:szCs w:val="26"/>
        </w:rPr>
      </w:pPr>
    </w:p>
    <w:p w:rsidR="00215CA1" w:rsidRDefault="00215CA1" w:rsidP="00215CA1">
      <w:pPr>
        <w:widowControl w:val="0"/>
        <w:autoSpaceDE w:val="0"/>
        <w:autoSpaceDN w:val="0"/>
        <w:adjustRightInd w:val="0"/>
        <w:rPr>
          <w:rFonts w:ascii="Helvetica" w:hAnsi="Helvetica" w:cs="Helvetica"/>
        </w:rPr>
      </w:pPr>
    </w:p>
    <w:p w:rsidR="00215CA1" w:rsidRDefault="00215CA1" w:rsidP="00215CA1">
      <w:pPr>
        <w:widowControl w:val="0"/>
        <w:autoSpaceDE w:val="0"/>
        <w:autoSpaceDN w:val="0"/>
        <w:adjustRightInd w:val="0"/>
        <w:spacing w:after="120"/>
        <w:rPr>
          <w:rFonts w:ascii="Helvetica" w:hAnsi="Helvetica" w:cs="Helvetica"/>
        </w:rPr>
      </w:pPr>
    </w:p>
    <w:p w:rsidR="00215CA1" w:rsidRDefault="00215CA1" w:rsidP="00215CA1">
      <w:pPr>
        <w:widowControl w:val="0"/>
        <w:autoSpaceDE w:val="0"/>
        <w:autoSpaceDN w:val="0"/>
        <w:adjustRightInd w:val="0"/>
        <w:spacing w:after="266"/>
        <w:rPr>
          <w:rFonts w:ascii="Arial" w:hAnsi="Arial" w:cs="Arial"/>
          <w:sz w:val="26"/>
          <w:szCs w:val="26"/>
        </w:rPr>
      </w:pPr>
      <w:r>
        <w:rPr>
          <w:rFonts w:ascii="Arial" w:hAnsi="Arial" w:cs="Arial"/>
          <w:sz w:val="26"/>
          <w:szCs w:val="26"/>
        </w:rPr>
        <w:t>If you wish to unsubscribe, please send an email to </w:t>
      </w:r>
      <w:hyperlink r:id="rId11" w:history="1">
        <w:r>
          <w:rPr>
            <w:rFonts w:ascii="Arial" w:hAnsi="Arial" w:cs="Arial"/>
            <w:color w:val="0000FF"/>
            <w:sz w:val="26"/>
            <w:szCs w:val="26"/>
            <w:u w:val="single" w:color="0000FF"/>
          </w:rPr>
          <w:t>press@iea.org</w:t>
        </w:r>
      </w:hyperlink>
      <w:r>
        <w:rPr>
          <w:rFonts w:ascii="Arial" w:hAnsi="Arial" w:cs="Arial"/>
          <w:sz w:val="26"/>
          <w:szCs w:val="26"/>
        </w:rPr>
        <w:t>.</w:t>
      </w:r>
    </w:p>
    <w:p w:rsidR="00215CA1" w:rsidRDefault="00215CA1" w:rsidP="00215CA1">
      <w:pPr>
        <w:widowControl w:val="0"/>
        <w:autoSpaceDE w:val="0"/>
        <w:autoSpaceDN w:val="0"/>
        <w:adjustRightInd w:val="0"/>
        <w:rPr>
          <w:rFonts w:ascii="Arial" w:hAnsi="Arial" w:cs="Arial"/>
          <w:sz w:val="26"/>
          <w:szCs w:val="26"/>
        </w:rPr>
      </w:pPr>
      <w:r>
        <w:rPr>
          <w:rFonts w:ascii="Arial" w:hAnsi="Arial" w:cs="Arial"/>
          <w:sz w:val="26"/>
          <w:szCs w:val="26"/>
        </w:rPr>
        <w:t>Further questions should be directed to </w:t>
      </w:r>
      <w:hyperlink r:id="rId12" w:history="1">
        <w:r>
          <w:rPr>
            <w:rFonts w:ascii="Arial" w:hAnsi="Arial" w:cs="Arial"/>
            <w:color w:val="0000FF"/>
            <w:sz w:val="26"/>
            <w:szCs w:val="26"/>
            <w:u w:val="single" w:color="0000FF"/>
          </w:rPr>
          <w:t>press@iea.org</w:t>
        </w:r>
      </w:hyperlink>
      <w:r>
        <w:rPr>
          <w:rFonts w:ascii="Arial" w:hAnsi="Arial" w:cs="Arial"/>
          <w:sz w:val="26"/>
          <w:szCs w:val="26"/>
        </w:rPr>
        <w:t>.</w:t>
      </w:r>
    </w:p>
    <w:p w:rsidR="00215CA1" w:rsidRDefault="00215CA1" w:rsidP="00215CA1">
      <w:pPr>
        <w:widowControl w:val="0"/>
        <w:autoSpaceDE w:val="0"/>
        <w:autoSpaceDN w:val="0"/>
        <w:adjustRightInd w:val="0"/>
        <w:spacing w:after="133"/>
        <w:rPr>
          <w:rFonts w:ascii="Arial" w:hAnsi="Arial" w:cs="Arial"/>
          <w:sz w:val="26"/>
          <w:szCs w:val="26"/>
        </w:rPr>
      </w:pPr>
    </w:p>
    <w:p w:rsidR="00E22E61" w:rsidRDefault="00E22E61">
      <w:bookmarkStart w:id="0" w:name="_GoBack"/>
      <w:bookmarkEnd w:id="0"/>
    </w:p>
    <w:sectPr w:rsidR="00E22E61" w:rsidSect="00DD6F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A1"/>
    <w:rsid w:val="00215CA1"/>
    <w:rsid w:val="008B25E0"/>
    <w:rsid w:val="00E2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C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iea.org" TargetMode="External"/><Relationship Id="rId12" Type="http://schemas.openxmlformats.org/officeDocument/2006/relationships/hyperlink" Target="mailto:press@ie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m7.org/" TargetMode="External"/><Relationship Id="rId8" Type="http://schemas.openxmlformats.org/officeDocument/2006/relationships/hyperlink" Target="mailto:CEMSecretariat@hq.doe.gov?subject=Media%20Registration" TargetMode="External"/><Relationship Id="rId9" Type="http://schemas.openxmlformats.org/officeDocument/2006/relationships/hyperlink" Target="mailto:press@iea.org" TargetMode="External"/><Relationship Id="rId10" Type="http://schemas.openxmlformats.org/officeDocument/2006/relationships/hyperlink" Target="mailto:press@i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2716</Characters>
  <Application>Microsoft Macintosh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2016-05-25T02:47:00Z</dcterms:created>
  <dcterms:modified xsi:type="dcterms:W3CDTF">2016-05-25T02:47:00Z</dcterms:modified>
</cp:coreProperties>
</file>